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topLinePunct/>
        <w:autoSpaceDE w:val="0"/>
        <w:autoSpaceDN w:val="0"/>
        <w:jc w:val="center"/>
        <w:rPr>
          <w:rFonts w:hint="eastAsia" w:ascii="华文中宋" w:hAnsi="华文中宋" w:eastAsia="华文中宋" w:cs="华文中宋"/>
          <w:bCs/>
          <w:sz w:val="84"/>
          <w:szCs w:val="84"/>
        </w:rPr>
      </w:pPr>
      <w:r>
        <w:rPr>
          <w:rFonts w:hint="eastAsia" w:ascii="华文中宋" w:hAnsi="华文中宋" w:eastAsia="华文中宋" w:cs="华文中宋"/>
          <w:bCs/>
          <w:sz w:val="84"/>
          <w:szCs w:val="84"/>
        </w:rPr>
        <w:t>招 标 文 件</w:t>
      </w:r>
    </w:p>
    <w:p>
      <w:pPr>
        <w:topLinePunct/>
        <w:autoSpaceDE w:val="0"/>
        <w:autoSpaceDN w:val="0"/>
        <w:spacing w:line="60" w:lineRule="exact"/>
        <w:jc w:val="center"/>
        <w:rPr>
          <w:rFonts w:hint="eastAsia" w:ascii="华文中宋" w:hAnsi="华文中宋" w:eastAsia="华文中宋" w:cs="华文中宋"/>
          <w:bCs/>
          <w:sz w:val="84"/>
          <w:szCs w:val="84"/>
        </w:rPr>
      </w:pPr>
    </w:p>
    <w:p>
      <w:pPr>
        <w:topLinePunct/>
        <w:autoSpaceDE w:val="0"/>
        <w:autoSpaceDN w:val="0"/>
        <w:snapToGrid w:val="0"/>
        <w:jc w:val="center"/>
        <w:rPr>
          <w:rFonts w:hint="eastAsia" w:ascii="华文中宋" w:hAnsi="华文中宋" w:eastAsia="华文中宋" w:cs="华文中宋"/>
          <w:bCs/>
          <w:sz w:val="84"/>
          <w:szCs w:val="84"/>
        </w:rPr>
      </w:pPr>
      <w:r>
        <w:rPr>
          <w:rFonts w:hint="eastAsia" w:ascii="华文中宋" w:hAnsi="华文中宋" w:eastAsia="华文中宋" w:cs="华文中宋"/>
          <w:bCs/>
          <w:sz w:val="84"/>
          <w:szCs w:val="84"/>
        </w:rPr>
        <w:t>（商务部分）</w:t>
      </w:r>
    </w:p>
    <w:p>
      <w:pPr>
        <w:topLinePunct/>
        <w:autoSpaceDE w:val="0"/>
        <w:autoSpaceDN w:val="0"/>
        <w:snapToGrid w:val="0"/>
        <w:rPr>
          <w:rFonts w:hint="eastAsia" w:ascii="华文中宋" w:hAnsi="华文中宋" w:eastAsia="华文中宋" w:cs="华文中宋"/>
          <w:bCs/>
          <w:sz w:val="32"/>
          <w:szCs w:val="32"/>
        </w:rPr>
      </w:pPr>
    </w:p>
    <w:p>
      <w:pPr>
        <w:jc w:val="center"/>
        <w:rPr>
          <w:rFonts w:hint="eastAsia" w:ascii="方正小标宋简体" w:hAnsi="方正小标宋简体" w:eastAsia="方正小标宋简体" w:cs="方正小标宋简体"/>
          <w:sz w:val="24"/>
          <w:szCs w:val="24"/>
        </w:rPr>
      </w:pPr>
    </w:p>
    <w:p>
      <w:pPr>
        <w:pStyle w:val="2"/>
        <w:numPr>
          <w:ilvl w:val="0"/>
          <w:numId w:val="0"/>
        </w:numPr>
      </w:pPr>
    </w:p>
    <w:p>
      <w:pPr>
        <w:jc w:val="center"/>
        <w:rPr>
          <w:rFonts w:hint="eastAsia" w:ascii="方正小标宋简体" w:hAnsi="方正小标宋简体" w:eastAsia="方正小标宋简体" w:cs="方正小标宋简体"/>
          <w:sz w:val="24"/>
          <w:szCs w:val="24"/>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项目名称：</w:t>
      </w:r>
      <w:r>
        <w:rPr>
          <w:rFonts w:hint="eastAsia" w:ascii="方正小标宋简体" w:hAnsi="方正小标宋简体" w:eastAsia="方正小标宋简体" w:cs="方正小标宋简体"/>
          <w:sz w:val="28"/>
          <w:szCs w:val="28"/>
          <w:u w:val="single"/>
        </w:rPr>
        <w:t>福建税务2024年税费业务场景区块链基础平台应用推广项目</w:t>
      </w:r>
    </w:p>
    <w:p>
      <w:pPr>
        <w:jc w:val="center"/>
      </w:pPr>
      <w:r>
        <w:rPr>
          <w:rFonts w:hint="eastAsia" w:ascii="方正小标宋简体" w:hAnsi="方正小标宋简体" w:eastAsia="方正小标宋简体" w:cs="方正小标宋简体"/>
          <w:sz w:val="28"/>
          <w:szCs w:val="28"/>
        </w:rPr>
        <w:t>项目编号：</w:t>
      </w:r>
      <w:r>
        <w:rPr>
          <w:rFonts w:hint="eastAsia" w:ascii="方正小标宋简体" w:hAnsi="方正小标宋简体" w:eastAsia="方正小标宋简体" w:cs="方正小标宋简体"/>
          <w:sz w:val="28"/>
          <w:szCs w:val="28"/>
          <w:u w:val="single"/>
        </w:rPr>
        <w:t>FJ2024-DLGK-C0050-B04</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采 购 人：</w:t>
      </w:r>
      <w:r>
        <w:rPr>
          <w:rFonts w:hint="eastAsia" w:ascii="方正小标宋简体" w:hAnsi="方正小标宋简体" w:eastAsia="方正小标宋简体" w:cs="方正小标宋简体"/>
          <w:sz w:val="28"/>
          <w:szCs w:val="28"/>
          <w:u w:val="single"/>
        </w:rPr>
        <w:t>国家税务总局福建省税务局</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采购代理机构：</w:t>
      </w:r>
      <w:r>
        <w:rPr>
          <w:rFonts w:hint="eastAsia" w:ascii="方正小标宋简体" w:hAnsi="方正小标宋简体" w:eastAsia="方正小标宋简体" w:cs="方正小标宋简体"/>
          <w:sz w:val="28"/>
          <w:szCs w:val="28"/>
          <w:u w:val="single"/>
        </w:rPr>
        <w:t>福建省智信招标有限公司</w:t>
      </w:r>
    </w:p>
    <w:p>
      <w:pPr>
        <w:topLinePunct/>
        <w:autoSpaceDE w:val="0"/>
        <w:autoSpaceDN w:val="0"/>
        <w:spacing w:line="460" w:lineRule="exact"/>
        <w:rPr>
          <w:rFonts w:hint="eastAsia" w:ascii="方正小标宋简体" w:hAnsi="方正小标宋简体" w:eastAsia="方正小标宋简体" w:cs="方正小标宋简体"/>
          <w:sz w:val="28"/>
          <w:szCs w:val="28"/>
        </w:rPr>
      </w:pPr>
    </w:p>
    <w:p>
      <w:pPr>
        <w:topLinePunct/>
        <w:autoSpaceDE w:val="0"/>
        <w:autoSpaceDN w:val="0"/>
        <w:spacing w:line="460" w:lineRule="exact"/>
        <w:jc w:val="center"/>
        <w:rPr>
          <w:rFonts w:hint="eastAsia" w:ascii="方正小标宋简体" w:hAnsi="方正小标宋简体" w:eastAsia="方正小标宋简体" w:cs="方正小标宋简体"/>
          <w:sz w:val="28"/>
          <w:szCs w:val="28"/>
        </w:rPr>
      </w:pPr>
    </w:p>
    <w:p>
      <w:pPr>
        <w:pStyle w:val="2"/>
        <w:numPr>
          <w:ilvl w:val="0"/>
          <w:numId w:val="0"/>
        </w:numPr>
        <w:ind w:left="420" w:leftChars="200"/>
      </w:pPr>
    </w:p>
    <w:p>
      <w:pPr>
        <w:pStyle w:val="4"/>
        <w:rPr>
          <w:rFonts w:hint="eastAsia"/>
        </w:rPr>
      </w:pPr>
    </w:p>
    <w:p>
      <w:pPr>
        <w:topLinePunct/>
        <w:autoSpaceDE w:val="0"/>
        <w:autoSpaceDN w:val="0"/>
        <w:spacing w:line="460" w:lineRule="exact"/>
        <w:jc w:val="center"/>
        <w:rPr>
          <w:rFonts w:hint="eastAsia" w:ascii="方正小标宋简体" w:hAnsi="方正小标宋简体" w:eastAsia="方正小标宋简体" w:cs="方正小标宋简体"/>
          <w:sz w:val="28"/>
          <w:szCs w:val="28"/>
        </w:rPr>
      </w:pPr>
    </w:p>
    <w:p>
      <w:pPr>
        <w:topLinePunct/>
        <w:autoSpaceDE w:val="0"/>
        <w:autoSpaceDN w:val="0"/>
        <w:spacing w:line="160" w:lineRule="exact"/>
        <w:jc w:val="center"/>
        <w:rPr>
          <w:rFonts w:hint="eastAsia"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u w:val="single"/>
        </w:rPr>
        <w:t>2024</w:t>
      </w:r>
      <w:r>
        <w:rPr>
          <w:rFonts w:hint="eastAsia" w:ascii="方正小标宋简体" w:hAnsi="方正小标宋简体" w:eastAsia="方正小标宋简体" w:cs="方正小标宋简体"/>
          <w:sz w:val="28"/>
          <w:szCs w:val="28"/>
        </w:rPr>
        <w:t>年</w:t>
      </w:r>
      <w:r>
        <w:rPr>
          <w:rFonts w:hint="eastAsia" w:ascii="方正小标宋简体" w:hAnsi="方正小标宋简体" w:eastAsia="方正小标宋简体" w:cs="方正小标宋简体"/>
          <w:sz w:val="28"/>
          <w:szCs w:val="28"/>
          <w:u w:val="single"/>
        </w:rPr>
        <w:t>07</w:t>
      </w:r>
      <w:r>
        <w:rPr>
          <w:rFonts w:hint="eastAsia" w:ascii="方正小标宋简体" w:hAnsi="方正小标宋简体" w:eastAsia="方正小标宋简体" w:cs="方正小标宋简体"/>
          <w:sz w:val="28"/>
          <w:szCs w:val="28"/>
        </w:rPr>
        <w:t>月</w:t>
      </w:r>
      <w:r>
        <w:rPr>
          <w:rFonts w:hint="eastAsia" w:ascii="方正小标宋简体" w:hAnsi="方正小标宋简体" w:eastAsia="方正小标宋简体" w:cs="方正小标宋简体"/>
          <w:sz w:val="28"/>
          <w:szCs w:val="28"/>
          <w:u w:val="single"/>
          <w:lang w:val="en-US" w:eastAsia="zh-CN"/>
        </w:rPr>
        <w:t>24</w:t>
      </w:r>
      <w:r>
        <w:rPr>
          <w:rFonts w:hint="eastAsia" w:ascii="方正小标宋简体" w:hAnsi="方正小标宋简体" w:eastAsia="方正小标宋简体" w:cs="方正小标宋简体"/>
          <w:sz w:val="28"/>
          <w:szCs w:val="28"/>
        </w:rPr>
        <w:t>日</w:t>
      </w:r>
    </w:p>
    <w:p>
      <w:pPr>
        <w:jc w:val="left"/>
        <w:rPr>
          <w:rFonts w:hint="eastAsia" w:ascii="华文中宋" w:hAnsi="华文中宋" w:eastAsia="华文中宋" w:cs="华文中宋"/>
          <w:sz w:val="28"/>
          <w:szCs w:val="28"/>
          <w:lang w:val="zh-CN"/>
        </w:rPr>
      </w:pPr>
      <w:r>
        <w:rPr>
          <w:rFonts w:hint="eastAsia" w:ascii="华文中宋" w:hAnsi="华文中宋" w:eastAsia="华文中宋" w:cs="华文中宋"/>
          <w:sz w:val="28"/>
          <w:szCs w:val="28"/>
          <w:lang w:val="zh-CN"/>
        </w:rPr>
        <w:br w:type="page"/>
      </w:r>
    </w:p>
    <w:p>
      <w:pPr>
        <w:jc w:val="center"/>
        <w:rPr>
          <w:rFonts w:hint="eastAsia" w:ascii="华文中宋" w:hAnsi="华文中宋" w:eastAsia="华文中宋" w:cs="华文中宋"/>
          <w:sz w:val="28"/>
          <w:szCs w:val="28"/>
          <w:lang w:val="zh-CN"/>
        </w:rPr>
      </w:pPr>
      <w:r>
        <w:rPr>
          <w:rFonts w:hint="eastAsia" w:ascii="华文中宋" w:hAnsi="华文中宋" w:eastAsia="华文中宋" w:cs="华文中宋"/>
          <w:sz w:val="28"/>
          <w:szCs w:val="28"/>
          <w:lang w:val="zh-CN"/>
        </w:rPr>
        <w:t>目  录</w:t>
      </w:r>
    </w:p>
    <w:sdt>
      <w:sdtPr>
        <w:rPr>
          <w:rFonts w:ascii="宋体" w:hAnsi="宋体"/>
        </w:rPr>
        <w:id w:val="147453516"/>
        <w:docPartObj>
          <w:docPartGallery w:val="Table of Contents"/>
          <w:docPartUnique/>
        </w:docPartObj>
      </w:sdtPr>
      <w:sdtEndPr>
        <w:rPr>
          <w:rFonts w:hint="eastAsia" w:ascii="Times New Roman" w:hAnsi="Times New Roman" w:eastAsia="仿宋_GB2312"/>
          <w:b/>
          <w:bCs/>
          <w:szCs w:val="28"/>
        </w:rPr>
      </w:sdtEndPr>
      <w:sdtContent>
        <w:p>
          <w:pPr>
            <w:jc w:val="center"/>
          </w:pPr>
        </w:p>
        <w:p>
          <w:pPr>
            <w:pStyle w:val="34"/>
            <w:tabs>
              <w:tab w:val="right" w:leader="dot" w:pos="8402"/>
            </w:tabs>
            <w:spacing w:line="360" w:lineRule="auto"/>
            <w:rPr>
              <w:rFonts w:hint="eastAsia" w:ascii="宋体" w:hAnsi="宋体" w:eastAsia="宋体" w:cs="宋体"/>
              <w:b/>
              <w:sz w:val="24"/>
              <w:szCs w:val="24"/>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fldChar w:fldCharType="begin"/>
          </w:r>
          <w:r>
            <w:instrText xml:space="preserve"> HYPERLINK \l "_Toc28753" </w:instrText>
          </w:r>
          <w:r>
            <w:fldChar w:fldCharType="separate"/>
          </w:r>
          <w:r>
            <w:rPr>
              <w:rFonts w:hint="eastAsia" w:ascii="宋体" w:hAnsi="宋体" w:eastAsia="宋体" w:cs="宋体"/>
              <w:b/>
              <w:sz w:val="24"/>
              <w:szCs w:val="24"/>
            </w:rPr>
            <w:t>第一章  投标邀请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_Toc28753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4"/>
            <w:tabs>
              <w:tab w:val="right" w:leader="dot" w:pos="8402"/>
            </w:tabs>
            <w:spacing w:line="360" w:lineRule="auto"/>
            <w:rPr>
              <w:rFonts w:hint="eastAsia" w:ascii="宋体" w:hAnsi="宋体" w:eastAsia="宋体" w:cs="宋体"/>
              <w:b/>
              <w:sz w:val="24"/>
              <w:szCs w:val="24"/>
            </w:rPr>
          </w:pPr>
          <w:r>
            <w:fldChar w:fldCharType="begin"/>
          </w:r>
          <w:r>
            <w:instrText xml:space="preserve"> HYPERLINK \l "_Toc13204" </w:instrText>
          </w:r>
          <w:r>
            <w:fldChar w:fldCharType="separate"/>
          </w:r>
          <w:r>
            <w:rPr>
              <w:rFonts w:hint="eastAsia" w:ascii="宋体" w:hAnsi="宋体" w:eastAsia="宋体" w:cs="宋体"/>
              <w:b/>
              <w:sz w:val="24"/>
              <w:szCs w:val="24"/>
            </w:rPr>
            <w:t>第二章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_Toc13204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7</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"_Toc22038" </w:instrText>
          </w:r>
          <w: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"_Toc3248" </w:instrText>
          </w:r>
          <w: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"_Toc28466" </w:instrText>
          </w:r>
          <w: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_Toc28466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"_Toc21166" </w:instrText>
          </w:r>
          <w:r>
            <w:fldChar w:fldCharType="separate"/>
          </w:r>
          <w:r>
            <w:rPr>
              <w:rFonts w:hint="eastAsia" w:ascii="宋体" w:hAnsi="宋体" w:eastAsia="宋体" w:cs="宋体"/>
              <w:sz w:val="24"/>
              <w:szCs w:val="24"/>
            </w:rPr>
            <w:t>三、投标文件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_Toc21166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"_Toc27998" </w:instrText>
          </w:r>
          <w:r>
            <w:fldChar w:fldCharType="separate"/>
          </w:r>
          <w:r>
            <w:rPr>
              <w:rFonts w:hint="eastAsia" w:ascii="宋体" w:hAnsi="宋体" w:eastAsia="宋体" w:cs="宋体"/>
              <w:sz w:val="24"/>
              <w:szCs w:val="24"/>
            </w:rPr>
            <w:t>四、投标文件递交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_Toc27998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"_Toc23378" </w:instrText>
          </w:r>
          <w:r>
            <w:fldChar w:fldCharType="separate"/>
          </w:r>
          <w:r>
            <w:rPr>
              <w:rFonts w:hint="eastAsia" w:ascii="宋体" w:hAnsi="宋体" w:eastAsia="宋体" w:cs="宋体"/>
              <w:sz w:val="24"/>
              <w:szCs w:val="24"/>
            </w:rPr>
            <w:t>五、开标与评标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_Toc23378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"_Toc28447" </w:instrText>
          </w:r>
          <w:r>
            <w:fldChar w:fldCharType="separate"/>
          </w:r>
          <w:r>
            <w:rPr>
              <w:rFonts w:hint="eastAsia" w:ascii="宋体" w:hAnsi="宋体" w:eastAsia="宋体" w:cs="宋体"/>
              <w:sz w:val="24"/>
              <w:szCs w:val="24"/>
            </w:rPr>
            <w:t>六、中标和合同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_Toc28447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"_Toc5035" </w:instrText>
          </w:r>
          <w:r>
            <w:fldChar w:fldCharType="separate"/>
          </w:r>
          <w:r>
            <w:rPr>
              <w:rFonts w:hint="eastAsia" w:ascii="宋体" w:hAnsi="宋体" w:eastAsia="宋体" w:cs="宋体"/>
              <w:sz w:val="24"/>
              <w:szCs w:val="24"/>
            </w:rPr>
            <w:t>七、询问和质疑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_Toc5035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402"/>
            </w:tabs>
            <w:spacing w:line="360" w:lineRule="auto"/>
            <w:ind w:left="420"/>
            <w:rPr>
              <w:rFonts w:hint="eastAsia" w:ascii="宋体" w:hAnsi="宋体" w:eastAsia="宋体" w:cs="宋体"/>
              <w:sz w:val="24"/>
              <w:szCs w:val="24"/>
            </w:rPr>
          </w:pPr>
          <w:r>
            <w:fldChar w:fldCharType="begin"/>
          </w:r>
          <w:r>
            <w:instrText xml:space="preserve"> HYPERLINK \l "_Toc23390" </w:instrText>
          </w:r>
          <w:r>
            <w:fldChar w:fldCharType="separate"/>
          </w:r>
          <w:r>
            <w:rPr>
              <w:rFonts w:hint="eastAsia" w:ascii="宋体" w:hAnsi="宋体" w:eastAsia="宋体" w:cs="宋体"/>
              <w:sz w:val="24"/>
              <w:szCs w:val="24"/>
            </w:rPr>
            <w:t>八、其他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_Toc23390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4"/>
            <w:tabs>
              <w:tab w:val="right" w:leader="dot" w:pos="8402"/>
            </w:tabs>
            <w:spacing w:line="360" w:lineRule="auto"/>
            <w:rPr>
              <w:rFonts w:hint="eastAsia" w:ascii="宋体" w:hAnsi="宋体" w:eastAsia="宋体" w:cs="宋体"/>
              <w:b/>
              <w:sz w:val="24"/>
              <w:szCs w:val="24"/>
            </w:rPr>
          </w:pPr>
          <w:r>
            <w:fldChar w:fldCharType="begin"/>
          </w:r>
          <w:r>
            <w:instrText xml:space="preserve"> HYPERLINK \l "_Toc9395" </w:instrText>
          </w:r>
          <w:r>
            <w:fldChar w:fldCharType="separate"/>
          </w:r>
          <w:r>
            <w:rPr>
              <w:rFonts w:hint="eastAsia" w:ascii="宋体" w:hAnsi="宋体" w:eastAsia="宋体" w:cs="宋体"/>
              <w:b/>
              <w:sz w:val="24"/>
              <w:szCs w:val="24"/>
            </w:rPr>
            <w:t>第三章  评标方法及标准</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_Toc9395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4"/>
            <w:tabs>
              <w:tab w:val="right" w:leader="dot" w:pos="8402"/>
            </w:tabs>
            <w:spacing w:line="360" w:lineRule="auto"/>
            <w:rPr>
              <w:rFonts w:hint="eastAsia" w:ascii="宋体" w:hAnsi="宋体" w:eastAsia="宋体" w:cs="宋体"/>
              <w:b/>
              <w:sz w:val="24"/>
              <w:szCs w:val="24"/>
            </w:rPr>
          </w:pPr>
          <w:r>
            <w:fldChar w:fldCharType="begin"/>
          </w:r>
          <w:r>
            <w:instrText xml:space="preserve"> HYPERLINK \l "_Toc26132" </w:instrText>
          </w:r>
          <w:r>
            <w:fldChar w:fldCharType="separate"/>
          </w:r>
          <w:r>
            <w:rPr>
              <w:rFonts w:hint="eastAsia" w:ascii="宋体" w:hAnsi="宋体" w:eastAsia="宋体" w:cs="宋体"/>
              <w:b/>
              <w:sz w:val="24"/>
              <w:szCs w:val="24"/>
            </w:rPr>
            <w:t>第四章  政府采购合同文本</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_Toc26132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45</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4"/>
            <w:tabs>
              <w:tab w:val="right" w:leader="dot" w:pos="8402"/>
            </w:tabs>
            <w:spacing w:line="360" w:lineRule="auto"/>
            <w:rPr>
              <w:rFonts w:hint="eastAsia" w:ascii="宋体" w:hAnsi="宋体" w:eastAsia="宋体" w:cs="宋体"/>
              <w:b/>
              <w:sz w:val="24"/>
              <w:szCs w:val="24"/>
            </w:rPr>
          </w:pPr>
          <w:r>
            <w:fldChar w:fldCharType="begin"/>
          </w:r>
          <w:r>
            <w:instrText xml:space="preserve"> HYPERLINK \l "_Toc3520" </w:instrText>
          </w:r>
          <w:r>
            <w:fldChar w:fldCharType="separate"/>
          </w:r>
          <w:r>
            <w:rPr>
              <w:rFonts w:hint="eastAsia" w:ascii="宋体" w:hAnsi="宋体" w:eastAsia="宋体" w:cs="宋体"/>
              <w:b/>
              <w:sz w:val="24"/>
              <w:szCs w:val="24"/>
            </w:rPr>
            <w:t>第五章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_Toc3520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57</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4"/>
            <w:tabs>
              <w:tab w:val="right" w:leader="dot" w:pos="8402"/>
            </w:tabs>
            <w:spacing w:line="360" w:lineRule="auto"/>
            <w:rPr>
              <w:rFonts w:hint="eastAsia" w:ascii="宋体" w:hAnsi="宋体" w:eastAsia="宋体" w:cs="宋体"/>
              <w:b/>
              <w:sz w:val="24"/>
              <w:szCs w:val="24"/>
            </w:rPr>
          </w:pPr>
          <w:r>
            <w:fldChar w:fldCharType="begin"/>
          </w:r>
          <w:r>
            <w:instrText xml:space="preserve"> HYPERLINK \l "_Toc18303" </w:instrText>
          </w:r>
          <w:r>
            <w:fldChar w:fldCharType="separate"/>
          </w:r>
          <w:r>
            <w:rPr>
              <w:rFonts w:hint="eastAsia" w:ascii="宋体" w:hAnsi="宋体" w:eastAsia="宋体" w:cs="宋体"/>
              <w:b/>
              <w:sz w:val="24"/>
              <w:szCs w:val="24"/>
            </w:rPr>
            <w:t>第六章  项目采购需求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_Toc18303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89</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spacing w:line="360" w:lineRule="auto"/>
          </w:pPr>
          <w:r>
            <w:rPr>
              <w:rFonts w:hint="eastAsia"/>
              <w:b/>
              <w:sz w:val="24"/>
              <w:szCs w:val="24"/>
            </w:rPr>
            <w:fldChar w:fldCharType="end"/>
          </w:r>
        </w:p>
      </w:sdtContent>
    </w:sdt>
    <w:p>
      <w:pPr>
        <w:rPr>
          <w:b/>
          <w:sz w:val="44"/>
          <w:szCs w:val="44"/>
        </w:rPr>
      </w:pPr>
    </w:p>
    <w:p/>
    <w:p>
      <w:pPr>
        <w:sectPr>
          <w:footerReference r:id="rId6" w:type="first"/>
          <w:footerReference r:id="rId4" w:type="default"/>
          <w:headerReference r:id="rId3" w:type="even"/>
          <w:footerReference r:id="rId5" w:type="even"/>
          <w:pgSz w:w="11906" w:h="16838"/>
          <w:pgMar w:top="1440" w:right="1752" w:bottom="1440" w:left="1752" w:header="851" w:footer="992" w:gutter="0"/>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0" w:name="_Toc132880271"/>
      <w:bookmarkStart w:id="1" w:name="_Toc28753"/>
      <w:r>
        <w:rPr>
          <w:rFonts w:hint="eastAsia" w:ascii="华文中宋" w:hAnsi="华文中宋" w:eastAsia="华文中宋" w:cs="华文中宋"/>
          <w:sz w:val="28"/>
          <w:szCs w:val="28"/>
        </w:rPr>
        <w:t>第一章  投标邀请</w:t>
      </w:r>
      <w:bookmarkEnd w:id="0"/>
      <w:bookmarkEnd w:id="1"/>
    </w:p>
    <w:p>
      <w:pPr>
        <w:pBdr>
          <w:top w:val="single" w:color="auto" w:sz="4" w:space="1"/>
          <w:left w:val="single" w:color="auto" w:sz="4" w:space="4"/>
          <w:bottom w:val="single" w:color="auto" w:sz="4" w:space="1"/>
          <w:right w:val="single" w:color="auto" w:sz="4" w:space="4"/>
        </w:pBdr>
        <w:spacing w:line="360" w:lineRule="auto"/>
        <w:rPr>
          <w:rFonts w:hint="eastAsia"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rPr>
        <w:t xml:space="preserve">福建税务2024年税费业务场景区块链基础平台应用推广项目 </w:t>
      </w:r>
      <w:r>
        <w:rPr>
          <w:rFonts w:hint="eastAsia" w:ascii="宋体" w:hAnsi="宋体"/>
          <w:szCs w:val="21"/>
        </w:rPr>
        <w:t>招标项目的潜在投标人应在</w:t>
      </w:r>
      <w:r>
        <w:rPr>
          <w:rFonts w:hint="eastAsia" w:ascii="宋体" w:hAnsi="宋体"/>
          <w:szCs w:val="21"/>
          <w:u w:val="single"/>
        </w:rPr>
        <w:t>福建省福州市鼓楼区五四路159号世界金龙大厦第14层A单元福建省智信招标有限公司</w:t>
      </w:r>
      <w:r>
        <w:rPr>
          <w:rFonts w:hint="eastAsia" w:ascii="宋体" w:hAnsi="宋体"/>
          <w:szCs w:val="21"/>
        </w:rPr>
        <w:t>获取招标文件，并于</w:t>
      </w:r>
      <w:r>
        <w:rPr>
          <w:rFonts w:hint="eastAsia" w:ascii="宋体" w:hAnsi="宋体"/>
          <w:szCs w:val="21"/>
          <w:u w:val="single"/>
        </w:rPr>
        <w:t>2024</w:t>
      </w:r>
      <w:r>
        <w:rPr>
          <w:rFonts w:hint="eastAsia" w:ascii="宋体" w:hAnsi="宋体"/>
          <w:bCs/>
          <w:szCs w:val="21"/>
          <w:u w:val="single"/>
        </w:rPr>
        <w:t>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15</w:t>
      </w:r>
      <w:r>
        <w:rPr>
          <w:rFonts w:hint="eastAsia" w:ascii="宋体" w:hAnsi="宋体"/>
          <w:bCs/>
          <w:szCs w:val="21"/>
          <w:u w:val="single"/>
        </w:rPr>
        <w:t>日</w:t>
      </w:r>
      <w:r>
        <w:rPr>
          <w:rFonts w:hint="eastAsia" w:ascii="宋体" w:hAnsi="宋体"/>
          <w:bCs/>
          <w:szCs w:val="21"/>
          <w:u w:val="single"/>
          <w:lang w:val="en-US" w:eastAsia="zh-CN"/>
        </w:rPr>
        <w:t>8</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spacing w:before="156" w:beforeLines="50" w:after="156" w:afterLines="50" w:line="360" w:lineRule="auto"/>
        <w:outlineLvl w:val="1"/>
        <w:rPr>
          <w:rFonts w:hint="eastAsia" w:ascii="黑体" w:hAnsi="黑体" w:eastAsia="黑体"/>
          <w:szCs w:val="21"/>
        </w:rPr>
      </w:pPr>
      <w:bookmarkStart w:id="2" w:name="_Toc16518"/>
      <w:r>
        <w:rPr>
          <w:rFonts w:hint="eastAsia" w:ascii="黑体" w:hAnsi="黑体" w:eastAsia="黑体"/>
          <w:szCs w:val="21"/>
        </w:rPr>
        <w:t>一、项目基本情况</w:t>
      </w:r>
      <w:bookmarkEnd w:id="2"/>
    </w:p>
    <w:p>
      <w:pPr>
        <w:spacing w:line="360" w:lineRule="auto"/>
        <w:ind w:firstLine="420" w:firstLineChars="200"/>
        <w:rPr>
          <w:rFonts w:hint="eastAsia" w:ascii="宋体" w:hAnsi="宋体"/>
          <w:szCs w:val="21"/>
        </w:rPr>
      </w:pPr>
      <w:r>
        <w:rPr>
          <w:rFonts w:hint="eastAsia" w:ascii="宋体" w:hAnsi="宋体"/>
          <w:szCs w:val="21"/>
        </w:rPr>
        <w:t>项目编号：FJ2024-DLGK-C0050-B04</w:t>
      </w:r>
    </w:p>
    <w:p>
      <w:pPr>
        <w:spacing w:line="360" w:lineRule="auto"/>
        <w:ind w:firstLine="420" w:firstLineChars="200"/>
        <w:rPr>
          <w:rFonts w:hint="eastAsia" w:ascii="宋体" w:hAnsi="宋体"/>
          <w:szCs w:val="21"/>
        </w:rPr>
      </w:pPr>
      <w:r>
        <w:rPr>
          <w:rFonts w:hint="eastAsia" w:ascii="宋体" w:hAnsi="宋体"/>
          <w:szCs w:val="21"/>
        </w:rPr>
        <w:t>项目名称：福建税务2024年税费业务场景区块链基础平台应用推广项目</w:t>
      </w:r>
    </w:p>
    <w:p>
      <w:pPr>
        <w:spacing w:line="360" w:lineRule="auto"/>
        <w:ind w:firstLine="420" w:firstLineChars="200"/>
        <w:rPr>
          <w:rFonts w:hint="eastAsia" w:ascii="宋体" w:hAnsi="宋体"/>
          <w:szCs w:val="21"/>
        </w:rPr>
      </w:pPr>
      <w:r>
        <w:rPr>
          <w:rFonts w:hint="eastAsia" w:ascii="宋体" w:hAnsi="宋体"/>
          <w:szCs w:val="21"/>
        </w:rPr>
        <w:t>预算金额：269.83万元（人民币）</w:t>
      </w:r>
    </w:p>
    <w:p>
      <w:pPr>
        <w:spacing w:line="360" w:lineRule="auto"/>
        <w:ind w:firstLine="420" w:firstLineChars="200"/>
        <w:rPr>
          <w:rFonts w:hint="eastAsia" w:ascii="宋体" w:hAnsi="宋体"/>
          <w:szCs w:val="21"/>
          <w:u w:val="single"/>
        </w:rPr>
      </w:pPr>
      <w:r>
        <w:rPr>
          <w:rFonts w:hint="eastAsia" w:ascii="宋体" w:hAnsi="宋体"/>
          <w:szCs w:val="21"/>
        </w:rPr>
        <w:t>采购需求：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72"/>
        <w:gridCol w:w="1179"/>
        <w:gridCol w:w="1051"/>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采购包</w:t>
            </w:r>
          </w:p>
        </w:tc>
        <w:tc>
          <w:tcPr>
            <w:tcW w:w="1086"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标的名称</w:t>
            </w:r>
          </w:p>
        </w:tc>
        <w:tc>
          <w:tcPr>
            <w:tcW w:w="684"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服务期限</w:t>
            </w:r>
          </w:p>
        </w:tc>
        <w:tc>
          <w:tcPr>
            <w:tcW w:w="61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最高</w:t>
            </w:r>
          </w:p>
          <w:p>
            <w:pPr>
              <w:pStyle w:val="8"/>
              <w:spacing w:line="400" w:lineRule="exact"/>
              <w:jc w:val="center"/>
              <w:rPr>
                <w:rFonts w:hint="eastAsia" w:ascii="宋体" w:hAnsi="宋体" w:cs="宋体"/>
                <w:b w:val="0"/>
                <w:bCs/>
                <w:szCs w:val="21"/>
              </w:rPr>
            </w:pPr>
            <w:r>
              <w:rPr>
                <w:rFonts w:hint="eastAsia" w:ascii="宋体" w:hAnsi="宋体" w:cs="宋体"/>
                <w:b w:val="0"/>
                <w:bCs/>
                <w:szCs w:val="21"/>
              </w:rPr>
              <w:t>限价</w:t>
            </w:r>
          </w:p>
        </w:tc>
        <w:tc>
          <w:tcPr>
            <w:tcW w:w="2198"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税务区块链基础平台部署实施和上下链接口服务</w:t>
            </w:r>
          </w:p>
        </w:tc>
        <w:tc>
          <w:tcPr>
            <w:tcW w:w="684"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61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117.31万元</w:t>
            </w:r>
          </w:p>
        </w:tc>
        <w:tc>
          <w:tcPr>
            <w:tcW w:w="2198"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left"/>
              <w:rPr>
                <w:rFonts w:hint="eastAsia" w:ascii="宋体" w:hAnsi="宋体" w:cs="宋体"/>
                <w:b w:val="0"/>
                <w:bCs/>
                <w:szCs w:val="21"/>
              </w:rPr>
            </w:pPr>
            <w:r>
              <w:rPr>
                <w:rFonts w:hint="eastAsia" w:ascii="宋体" w:hAnsi="宋体" w:cs="宋体"/>
                <w:b w:val="0"/>
                <w:bCs/>
                <w:szCs w:val="21"/>
              </w:rPr>
              <w:t>根据税务区块链生产和预生产资源配置要求，统筹完成金税云资源评估、创建等部署服务，具体详见技术部分“第六章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社保费管理子系统及对账平台上下链、权益实时到账服务</w:t>
            </w:r>
          </w:p>
        </w:tc>
        <w:tc>
          <w:tcPr>
            <w:tcW w:w="684"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61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103.41万元</w:t>
            </w:r>
          </w:p>
        </w:tc>
        <w:tc>
          <w:tcPr>
            <w:tcW w:w="2198"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left"/>
              <w:rPr>
                <w:rFonts w:hint="eastAsia" w:ascii="宋体" w:hAnsi="宋体" w:cs="宋体"/>
                <w:b w:val="0"/>
                <w:bCs/>
                <w:szCs w:val="21"/>
              </w:rPr>
            </w:pPr>
            <w:r>
              <w:rPr>
                <w:rFonts w:hint="eastAsia" w:ascii="宋体" w:hAnsi="宋体" w:cs="宋体"/>
                <w:b w:val="0"/>
                <w:bCs/>
                <w:szCs w:val="21"/>
              </w:rPr>
              <w:t>改造金税三期社会保险费征管信息系统（管理子系统部分），在原有信息共享平台交互的基础上，基于税务区块链基础平台，连接区块链实时接收医保部门的参保登记、费款核定、费款核定撤销等数据，向医保部门实时共享申报缴费明细等数据，具体详见技术部分“第六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社保费征收子系统上下链服务</w:t>
            </w:r>
          </w:p>
        </w:tc>
        <w:tc>
          <w:tcPr>
            <w:tcW w:w="684"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61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10.66万元</w:t>
            </w:r>
          </w:p>
        </w:tc>
        <w:tc>
          <w:tcPr>
            <w:tcW w:w="2198"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left"/>
              <w:rPr>
                <w:rFonts w:hint="eastAsia" w:ascii="宋体" w:hAnsi="宋体" w:cs="宋体"/>
                <w:b w:val="0"/>
                <w:bCs/>
                <w:szCs w:val="21"/>
              </w:rPr>
            </w:pPr>
            <w:r>
              <w:rPr>
                <w:rFonts w:hint="eastAsia" w:ascii="宋体" w:hAnsi="宋体" w:cs="宋体"/>
                <w:b w:val="0"/>
                <w:bCs/>
                <w:szCs w:val="21"/>
              </w:rPr>
              <w:t>涉及对用人单位、灵活就业人员、城乡居民，涉及医保险种的已入库费款进行退费处理，并将已退费数据实时传递给人社医保相关系统，并接收人社医保退费核验销号信息等，具体详见技术部分“第六章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闽费通非税相关功能改造及上下链服务</w:t>
            </w:r>
          </w:p>
        </w:tc>
        <w:tc>
          <w:tcPr>
            <w:tcW w:w="684"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610" w:type="pct"/>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38.45万元</w:t>
            </w:r>
          </w:p>
        </w:tc>
        <w:tc>
          <w:tcPr>
            <w:tcW w:w="2198" w:type="pct"/>
            <w:tcBorders>
              <w:top w:val="single" w:color="auto" w:sz="4" w:space="0"/>
              <w:left w:val="single" w:color="auto" w:sz="4" w:space="0"/>
              <w:right w:val="single" w:color="auto" w:sz="4" w:space="0"/>
            </w:tcBorders>
            <w:vAlign w:val="center"/>
          </w:tcPr>
          <w:p>
            <w:pPr>
              <w:pStyle w:val="8"/>
              <w:spacing w:line="400" w:lineRule="exact"/>
              <w:jc w:val="left"/>
              <w:rPr>
                <w:rFonts w:hint="eastAsia" w:ascii="宋体" w:hAnsi="宋体" w:cs="宋体"/>
                <w:b w:val="0"/>
                <w:bCs/>
                <w:szCs w:val="21"/>
              </w:rPr>
            </w:pPr>
            <w:r>
              <w:rPr>
                <w:rFonts w:hint="eastAsia" w:ascii="宋体" w:hAnsi="宋体" w:cs="宋体"/>
                <w:b w:val="0"/>
                <w:bCs/>
                <w:szCs w:val="21"/>
              </w:rPr>
              <w:t>税务部门通过福建省电子税务局纳税人端的闽费通平台相关功能个性化改造和联调，连接税务区块链，在税务部门、林业部门、自然资源部门部署区块链基础设施，非税收入征缴由“手工采集+多次录入”模式转变为“系统对接+数据驱动”模式，具体详见技术部分“第六章  项目采购需求”。</w:t>
            </w:r>
          </w:p>
        </w:tc>
      </w:tr>
    </w:tbl>
    <w:p>
      <w:pPr>
        <w:spacing w:line="360" w:lineRule="auto"/>
        <w:ind w:firstLine="420" w:firstLineChars="200"/>
        <w:rPr>
          <w:rFonts w:hint="eastAsia" w:ascii="宋体" w:hAnsi="宋体"/>
          <w:szCs w:val="21"/>
          <w:u w:val="single"/>
        </w:rPr>
      </w:pPr>
      <w:r>
        <w:rPr>
          <w:rFonts w:hint="eastAsia" w:ascii="宋体" w:hAnsi="宋体"/>
          <w:szCs w:val="21"/>
        </w:rPr>
        <w:t>合同履行期限：</w:t>
      </w:r>
      <w:r>
        <w:rPr>
          <w:rFonts w:hint="eastAsia" w:ascii="宋体" w:hAnsi="宋体" w:cs="宋体"/>
          <w:bCs/>
          <w:szCs w:val="21"/>
        </w:rPr>
        <w:t>合同生效之日起至维保期届满</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本项目（不接受）联合体投标。</w:t>
      </w:r>
    </w:p>
    <w:p>
      <w:pPr>
        <w:spacing w:before="156" w:beforeLines="50" w:after="156" w:afterLines="50" w:line="360" w:lineRule="auto"/>
        <w:outlineLvl w:val="1"/>
        <w:rPr>
          <w:rFonts w:hint="eastAsia" w:ascii="黑体" w:hAnsi="黑体" w:eastAsia="黑体"/>
          <w:szCs w:val="21"/>
        </w:rPr>
      </w:pPr>
      <w:bookmarkStart w:id="3" w:name="_Toc8936"/>
      <w:r>
        <w:rPr>
          <w:rFonts w:hint="eastAsia" w:ascii="黑体" w:hAnsi="黑体" w:eastAsia="黑体"/>
          <w:szCs w:val="21"/>
        </w:rPr>
        <w:t>二、申请人的资格要求</w:t>
      </w:r>
      <w:bookmarkEnd w:id="3"/>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lang w:val="zh-CN"/>
        </w:rPr>
        <w:t>1.</w:t>
      </w:r>
      <w:r>
        <w:rPr>
          <w:rFonts w:hint="eastAsia" w:ascii="宋体" w:hAnsi="宋体" w:cs="宋体"/>
          <w:szCs w:val="21"/>
        </w:rPr>
        <w:t>投标人</w:t>
      </w:r>
      <w:r>
        <w:rPr>
          <w:rFonts w:hint="eastAsia" w:ascii="宋体" w:hAnsi="宋体" w:cs="宋体"/>
          <w:szCs w:val="21"/>
          <w:lang w:val="zh-CN"/>
        </w:rPr>
        <w:t>符合国家</w:t>
      </w:r>
      <w:r>
        <w:rPr>
          <w:rFonts w:hint="eastAsia" w:ascii="宋体" w:hAnsi="宋体" w:cs="宋体"/>
          <w:szCs w:val="21"/>
        </w:rPr>
        <w:t>有关</w:t>
      </w:r>
      <w:r>
        <w:rPr>
          <w:rFonts w:hint="eastAsia" w:ascii="宋体" w:hAnsi="宋体" w:cs="宋体"/>
          <w:szCs w:val="21"/>
          <w:lang w:val="zh-CN"/>
        </w:rPr>
        <w:t>法律规定，在中国境内（指关境内）注册。</w:t>
      </w:r>
    </w:p>
    <w:p>
      <w:pPr>
        <w:pStyle w:val="11"/>
        <w:spacing w:line="400" w:lineRule="exact"/>
        <w:ind w:firstLine="420" w:firstLineChars="200"/>
        <w:rPr>
          <w:rFonts w:hint="eastAsia" w:hAnsi="宋体" w:cs="宋体"/>
        </w:rPr>
      </w:pPr>
      <w:r>
        <w:rPr>
          <w:rFonts w:hint="eastAsia" w:hAnsi="宋体" w:cs="宋体"/>
        </w:rPr>
        <w:t>2.投标人须符合《中华人民共和国政府采购法》第二十二条第一款规定的条件，并提供下列证明材料：</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ascii="Times New Roman" w:hAnsi="Times New Roman"/>
          <w:szCs w:val="21"/>
        </w:rPr>
        <w:t>法人或者其他组织的营业执照等证明文件</w:t>
      </w:r>
      <w:r>
        <w:rPr>
          <w:rFonts w:hint="eastAsia" w:ascii="宋体" w:hAnsi="宋体" w:cs="宋体"/>
          <w:szCs w:val="21"/>
        </w:rPr>
        <w:t>。</w:t>
      </w:r>
    </w:p>
    <w:p>
      <w:pPr>
        <w:pStyle w:val="11"/>
        <w:spacing w:line="360" w:lineRule="auto"/>
        <w:ind w:firstLine="420" w:firstLineChars="200"/>
        <w:rPr>
          <w:rFonts w:hint="eastAsia" w:hAnsi="宋体" w:cs="宋体"/>
        </w:rPr>
      </w:pPr>
      <w:r>
        <w:rPr>
          <w:rFonts w:hint="eastAsia" w:hAnsi="宋体" w:cs="宋体"/>
        </w:rPr>
        <w:t>(2)投标人的财务状况报告:</w:t>
      </w:r>
      <w:r>
        <w:rPr>
          <w:rFonts w:hint="eastAsia" w:ascii="Times New Roman" w:hAnsi="Times New Roman" w:cs="Times New Roman"/>
        </w:rPr>
        <w:t>提供经会计师事务所审计的2023年度的财务报告</w:t>
      </w:r>
      <w:r>
        <w:rPr>
          <w:rFonts w:ascii="Times New Roman" w:hAnsi="Times New Roman" w:cs="Times New Roman"/>
        </w:rPr>
        <w:t>（须</w:t>
      </w:r>
      <w:r>
        <w:rPr>
          <w:rFonts w:hint="eastAsia" w:ascii="Times New Roman" w:hAnsi="Times New Roman" w:cs="Times New Roman"/>
        </w:rPr>
        <w:t>提供</w:t>
      </w:r>
      <w:r>
        <w:rPr>
          <w:rFonts w:ascii="Times New Roman" w:hAnsi="Times New Roman" w:cs="Times New Roman"/>
        </w:rPr>
        <w:t>加盖会计师事务所公章及注册会计师签章的扫描件</w:t>
      </w:r>
      <w:r>
        <w:rPr>
          <w:rFonts w:hint="eastAsia" w:ascii="Times New Roman" w:hAnsi="Times New Roman" w:cs="Times New Roman"/>
        </w:rPr>
        <w:t>或复印件</w:t>
      </w:r>
      <w:r>
        <w:rPr>
          <w:rFonts w:ascii="Times New Roman" w:hAnsi="Times New Roman" w:cs="Times New Roman"/>
        </w:rPr>
        <w:t>）</w:t>
      </w:r>
      <w:r>
        <w:rPr>
          <w:rFonts w:hint="eastAsia" w:ascii="Times New Roman" w:hAnsi="Times New Roman" w:cs="Times New Roman"/>
        </w:rPr>
        <w:t>；没有经审计的财务报告的，可以提供银行出具的资信证明（资信证明注明“复印无效”的，须提供原件）</w:t>
      </w:r>
      <w:r>
        <w:rPr>
          <w:rFonts w:hint="eastAsia" w:hAnsi="宋体" w:cs="宋体"/>
        </w:rPr>
        <w:t>；</w:t>
      </w:r>
    </w:p>
    <w:p>
      <w:pPr>
        <w:spacing w:line="360" w:lineRule="auto"/>
        <w:ind w:firstLine="420" w:firstLineChars="200"/>
        <w:rPr>
          <w:rFonts w:hint="eastAsia" w:ascii="宋体" w:hAnsi="宋体" w:cs="宋体"/>
          <w:szCs w:val="21"/>
        </w:rPr>
      </w:pPr>
      <w:r>
        <w:rPr>
          <w:rFonts w:hint="eastAsia" w:ascii="宋体" w:hAnsi="宋体" w:cs="宋体"/>
          <w:szCs w:val="21"/>
        </w:rPr>
        <w:t>(3)投标人依法缴纳税收：2024年1月以来不少于1个月依法缴纳税收（不包括个人所得税）的相关材料；若为投标截止时间的当月成立的投标人，视同满足本项资格条件要求；</w:t>
      </w:r>
    </w:p>
    <w:p>
      <w:pPr>
        <w:spacing w:line="360" w:lineRule="auto"/>
        <w:ind w:firstLine="420" w:firstLineChars="200"/>
        <w:rPr>
          <w:rFonts w:hint="eastAsia" w:ascii="宋体" w:hAnsi="宋体" w:cs="宋体"/>
          <w:szCs w:val="21"/>
        </w:rPr>
      </w:pPr>
      <w:r>
        <w:rPr>
          <w:rFonts w:hint="eastAsia" w:ascii="宋体" w:hAnsi="宋体" w:cs="宋体"/>
          <w:szCs w:val="21"/>
        </w:rPr>
        <w:t>(4)投标人依法缴纳社会保障资金：2024年1月以来不少于1个月的依法缴纳社会保障资金的相关材料；若为投标截止时间的当月成立的投标人，视同满足本项资格条件要求；</w:t>
      </w:r>
    </w:p>
    <w:p>
      <w:pPr>
        <w:pStyle w:val="11"/>
        <w:spacing w:line="360" w:lineRule="auto"/>
        <w:ind w:firstLine="420" w:firstLineChars="200"/>
        <w:rPr>
          <w:rFonts w:hint="eastAsia" w:hAnsi="宋体" w:cs="宋体"/>
        </w:rPr>
      </w:pPr>
      <w:r>
        <w:rPr>
          <w:rFonts w:hint="eastAsia" w:hAnsi="宋体" w:cs="宋体"/>
        </w:rPr>
        <w:t>(5)具备履行合同所必需的设备和专业技术能力的书面声明；</w:t>
      </w:r>
    </w:p>
    <w:p>
      <w:pPr>
        <w:spacing w:line="360" w:lineRule="auto"/>
        <w:ind w:firstLine="420" w:firstLineChars="200"/>
        <w:rPr>
          <w:rFonts w:hint="eastAsia" w:ascii="宋体" w:hAnsi="宋体" w:cs="宋体"/>
          <w:szCs w:val="21"/>
        </w:rPr>
      </w:pPr>
      <w:r>
        <w:rPr>
          <w:rFonts w:hint="eastAsia" w:ascii="宋体" w:hAnsi="宋体" w:cs="宋体"/>
          <w:szCs w:val="21"/>
        </w:rPr>
        <w:t>(6)参加政府采购活动前3年内在经营活动中没有重大违法记录的书面声明。</w:t>
      </w:r>
    </w:p>
    <w:p>
      <w:pPr>
        <w:pStyle w:val="11"/>
        <w:spacing w:line="360" w:lineRule="auto"/>
        <w:ind w:firstLine="420" w:firstLineChars="200"/>
        <w:rPr>
          <w:rFonts w:hint="eastAsia" w:hAnsi="宋体" w:cs="宋体"/>
        </w:rPr>
      </w:pPr>
      <w:r>
        <w:rPr>
          <w:rFonts w:hint="eastAsia" w:hAnsi="宋体" w:cs="宋体"/>
        </w:rPr>
        <w:t>注：若为依法免税或不需要缴纳社会保障资金的投标人，应提供相应文件证明其依法免税或不需要缴纳社会保障资金。</w:t>
      </w:r>
    </w:p>
    <w:p>
      <w:pPr>
        <w:pStyle w:val="11"/>
        <w:spacing w:line="360" w:lineRule="auto"/>
        <w:ind w:firstLine="420" w:firstLineChars="200"/>
        <w:rPr>
          <w:rFonts w:hint="eastAsia" w:hAnsi="宋体" w:cs="宋体"/>
        </w:rPr>
      </w:pPr>
      <w:r>
        <w:rPr>
          <w:rFonts w:hint="eastAsia" w:hAnsi="宋体" w:cs="宋体"/>
        </w:rPr>
        <w:t>3.落实政府采购政策需满足的资格要求：无。</w:t>
      </w:r>
    </w:p>
    <w:p>
      <w:pPr>
        <w:spacing w:line="360" w:lineRule="auto"/>
        <w:ind w:firstLine="420" w:firstLineChars="200"/>
        <w:rPr>
          <w:rFonts w:hint="eastAsia" w:ascii="宋体" w:hAnsi="宋体" w:cs="宋体"/>
          <w:szCs w:val="21"/>
        </w:rPr>
      </w:pPr>
      <w:r>
        <w:rPr>
          <w:rFonts w:hint="eastAsia" w:ascii="宋体" w:hAnsi="宋体" w:cs="宋体"/>
          <w:szCs w:val="21"/>
        </w:rPr>
        <w:t>4.被列入失信被执行人、重大税收违法案件当事人名单、政府采购严重违法失信行为记录名单及其他不符合《中华人民共和国政府采购法》第二十二条规定条件的投标人，不得参加本次投标。（1）投标人针对“信用记录查询结果”可自主提供证明材料，未提供该证明材料的不视为无效投标。（2）查询结果的审查：①信用记录查询的截止时点：信用记录查询的截止时点为本项目投标截止当日。②信用记录查询渠道：信用中国（www.creditchina.gov.cn）和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⑤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w:t>
      </w:r>
    </w:p>
    <w:p>
      <w:pPr>
        <w:spacing w:line="360" w:lineRule="auto"/>
        <w:ind w:firstLine="420" w:firstLineChars="200"/>
        <w:rPr>
          <w:rFonts w:hint="eastAsia" w:ascii="宋体" w:hAnsi="宋体" w:cs="宋体"/>
          <w:szCs w:val="21"/>
        </w:rPr>
      </w:pPr>
      <w:r>
        <w:rPr>
          <w:rFonts w:hint="eastAsia" w:ascii="宋体" w:hAnsi="宋体" w:cs="宋体"/>
          <w:szCs w:val="21"/>
        </w:rPr>
        <w:t>5.本项目不接受联合体投标。</w:t>
      </w:r>
    </w:p>
    <w:p>
      <w:pPr>
        <w:spacing w:before="156" w:beforeLines="50" w:after="156" w:afterLines="50" w:line="360" w:lineRule="auto"/>
        <w:outlineLvl w:val="1"/>
        <w:rPr>
          <w:rFonts w:hint="eastAsia" w:ascii="黑体" w:hAnsi="黑体" w:eastAsia="黑体"/>
          <w:szCs w:val="21"/>
        </w:rPr>
      </w:pPr>
      <w:bookmarkStart w:id="4" w:name="_Toc1392"/>
      <w:r>
        <w:rPr>
          <w:rFonts w:hint="eastAsia" w:ascii="黑体" w:hAnsi="黑体" w:eastAsia="黑体"/>
          <w:szCs w:val="21"/>
        </w:rPr>
        <w:t>三、获取招标文件</w:t>
      </w:r>
      <w:bookmarkEnd w:id="4"/>
    </w:p>
    <w:p>
      <w:pPr>
        <w:spacing w:line="360" w:lineRule="auto"/>
        <w:ind w:firstLine="540"/>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24</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2024年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1</w:t>
      </w:r>
      <w:r>
        <w:rPr>
          <w:rFonts w:hint="eastAsia" w:ascii="宋体" w:hAnsi="宋体" w:cs="宋体"/>
          <w:szCs w:val="21"/>
          <w:u w:val="single"/>
        </w:rPr>
        <w:t>日</w:t>
      </w:r>
      <w:r>
        <w:rPr>
          <w:rFonts w:hint="eastAsia" w:ascii="宋体" w:hAnsi="宋体" w:cs="宋体"/>
          <w:iCs/>
          <w:szCs w:val="21"/>
          <w:u w:val="single"/>
        </w:rPr>
        <w:t>（</w:t>
      </w:r>
      <w:r>
        <w:rPr>
          <w:rFonts w:hint="eastAsia" w:ascii="宋体" w:hAnsi="宋体" w:cs="宋体"/>
          <w:i/>
          <w:szCs w:val="21"/>
          <w:u w:val="single"/>
        </w:rPr>
        <w:t>提供期限自本公告发布之日起不得少于5个工作日</w:t>
      </w:r>
      <w:r>
        <w:rPr>
          <w:rFonts w:hint="eastAsia" w:ascii="宋体" w:hAnsi="宋体" w:cs="宋体"/>
          <w:iCs/>
          <w:szCs w:val="21"/>
          <w:u w:val="single"/>
        </w:rPr>
        <w:t>）</w:t>
      </w:r>
      <w:r>
        <w:rPr>
          <w:rFonts w:hint="eastAsia" w:ascii="宋体" w:hAnsi="宋体" w:cs="宋体"/>
          <w:szCs w:val="21"/>
        </w:rPr>
        <w:t>，每天上午</w:t>
      </w:r>
      <w:r>
        <w:rPr>
          <w:rFonts w:hint="eastAsia" w:ascii="宋体" w:hAnsi="宋体" w:cs="宋体"/>
          <w:szCs w:val="21"/>
          <w:u w:val="single"/>
        </w:rPr>
        <w:t>08:00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03:00</w:t>
      </w:r>
      <w:r>
        <w:rPr>
          <w:rFonts w:hint="eastAsia" w:ascii="宋体" w:hAnsi="宋体" w:cs="宋体"/>
          <w:szCs w:val="21"/>
        </w:rPr>
        <w:t>至</w:t>
      </w:r>
      <w:r>
        <w:rPr>
          <w:rFonts w:hint="eastAsia" w:ascii="宋体" w:hAnsi="宋体" w:cs="宋体"/>
          <w:szCs w:val="21"/>
          <w:u w:val="single"/>
        </w:rPr>
        <w:t>06:00</w:t>
      </w:r>
      <w:r>
        <w:rPr>
          <w:rFonts w:hint="eastAsia" w:ascii="宋体" w:hAnsi="宋体" w:cs="宋体"/>
          <w:szCs w:val="21"/>
        </w:rPr>
        <w:t>（北京时间，</w:t>
      </w:r>
      <w:r>
        <w:rPr>
          <w:rFonts w:ascii="宋体" w:hAnsi="宋体" w:cs="宋体"/>
          <w:szCs w:val="21"/>
        </w:rPr>
        <w:t>法定节假日</w:t>
      </w:r>
      <w:r>
        <w:rPr>
          <w:rFonts w:hint="eastAsia" w:ascii="宋体" w:hAnsi="宋体" w:cs="宋体"/>
          <w:szCs w:val="21"/>
        </w:rPr>
        <w:t>除外）</w:t>
      </w:r>
    </w:p>
    <w:p>
      <w:pPr>
        <w:spacing w:line="360" w:lineRule="auto"/>
        <w:ind w:firstLine="540"/>
        <w:rPr>
          <w:rFonts w:hint="eastAsia" w:ascii="宋体" w:hAnsi="宋体" w:cs="宋体"/>
          <w:szCs w:val="21"/>
          <w:u w:val="single"/>
        </w:rPr>
      </w:pPr>
      <w:r>
        <w:rPr>
          <w:rFonts w:hint="eastAsia" w:ascii="宋体" w:hAnsi="宋体" w:cs="宋体"/>
          <w:szCs w:val="21"/>
        </w:rPr>
        <w:t>地点：</w:t>
      </w:r>
      <w:r>
        <w:rPr>
          <w:rFonts w:hint="eastAsia" w:ascii="宋体" w:hAnsi="宋体"/>
          <w:szCs w:val="21"/>
          <w:u w:val="single"/>
        </w:rPr>
        <w:t>福建省福州市鼓楼区五四路159号世界金龙大厦第14层A单元福建省智信招标有限公司</w:t>
      </w:r>
    </w:p>
    <w:p>
      <w:pPr>
        <w:spacing w:line="360" w:lineRule="auto"/>
        <w:ind w:firstLine="540"/>
        <w:rPr>
          <w:rFonts w:hint="eastAsia" w:ascii="宋体" w:hAnsi="宋体" w:cs="宋体"/>
          <w:szCs w:val="21"/>
        </w:rPr>
      </w:pPr>
      <w:r>
        <w:rPr>
          <w:rFonts w:hint="eastAsia" w:ascii="宋体" w:hAnsi="宋体" w:cs="宋体"/>
          <w:szCs w:val="21"/>
        </w:rPr>
        <w:t>方式：</w:t>
      </w:r>
      <w:r>
        <w:rPr>
          <w:rFonts w:hint="eastAsia" w:ascii="宋体" w:hAnsi="宋体" w:cs="宋体"/>
          <w:szCs w:val="21"/>
          <w:u w:val="single"/>
        </w:rPr>
        <w:t>直接至我司现场获取招标文件的，须至我司填写《获取招标（采购）文件登记表》；通过电子邮件获取招标文件的，须将《获取招标（采购）文件登记表》【格式见（下载网址：http://www.fjzxzb.com/newshow.aspx?NewsID=7）】填写清楚并加盖公章后扫描发送至我公司邮箱（zhixin04@126.com)。未办理获取招标文手续的不予以书面变更通知及不受理投标文件。</w:t>
      </w:r>
    </w:p>
    <w:p>
      <w:pPr>
        <w:spacing w:line="360" w:lineRule="auto"/>
        <w:ind w:firstLine="540"/>
        <w:rPr>
          <w:rFonts w:hint="eastAsia" w:ascii="宋体" w:hAnsi="宋体" w:cs="宋体"/>
          <w:szCs w:val="21"/>
        </w:rPr>
      </w:pPr>
      <w:r>
        <w:rPr>
          <w:rFonts w:hint="eastAsia" w:ascii="宋体" w:hAnsi="宋体" w:cs="宋体"/>
          <w:szCs w:val="21"/>
        </w:rPr>
        <w:t>售价：</w:t>
      </w:r>
      <w:r>
        <w:rPr>
          <w:rFonts w:hint="eastAsia" w:ascii="宋体" w:hAnsi="宋体" w:cs="宋体"/>
          <w:szCs w:val="21"/>
          <w:u w:val="single"/>
        </w:rPr>
        <w:t>招标文件0元。</w:t>
      </w:r>
    </w:p>
    <w:p>
      <w:pPr>
        <w:spacing w:before="156" w:beforeLines="50" w:after="156" w:afterLines="50" w:line="360" w:lineRule="auto"/>
        <w:outlineLvl w:val="1"/>
        <w:rPr>
          <w:rFonts w:hint="eastAsia" w:ascii="黑体" w:hAnsi="黑体" w:eastAsia="黑体"/>
          <w:szCs w:val="21"/>
        </w:rPr>
      </w:pPr>
      <w:bookmarkStart w:id="5" w:name="_Toc30912"/>
      <w:r>
        <w:rPr>
          <w:rFonts w:hint="eastAsia" w:ascii="黑体" w:hAnsi="黑体" w:eastAsia="黑体"/>
          <w:szCs w:val="21"/>
        </w:rPr>
        <w:t>四、提交投标文件截止时间、开标时间和地点</w:t>
      </w:r>
      <w:bookmarkEnd w:id="5"/>
    </w:p>
    <w:p>
      <w:pPr>
        <w:spacing w:line="360" w:lineRule="auto"/>
        <w:ind w:firstLine="420" w:firstLineChars="200"/>
        <w:rPr>
          <w:rFonts w:hint="eastAsia" w:ascii="宋体" w:hAnsi="宋体"/>
          <w:bCs/>
          <w:szCs w:val="21"/>
          <w:u w:val="single"/>
        </w:rPr>
      </w:pPr>
      <w:r>
        <w:rPr>
          <w:rFonts w:hint="eastAsia" w:ascii="宋体" w:hAnsi="宋体" w:cs="宋体"/>
          <w:szCs w:val="21"/>
          <w:u w:val="single"/>
        </w:rPr>
        <w:t>2024年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15</w:t>
      </w:r>
      <w:r>
        <w:rPr>
          <w:rFonts w:hint="eastAsia" w:ascii="宋体" w:hAnsi="宋体" w:cs="宋体"/>
          <w:szCs w:val="21"/>
          <w:u w:val="single"/>
        </w:rPr>
        <w:t>日</w:t>
      </w:r>
      <w:r>
        <w:rPr>
          <w:rFonts w:hint="eastAsia" w:ascii="宋体" w:hAnsi="宋体" w:cs="宋体"/>
          <w:szCs w:val="21"/>
          <w:u w:val="single"/>
          <w:lang w:val="en-US" w:eastAsia="zh-CN"/>
        </w:rPr>
        <w:t>8</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bCs/>
          <w:szCs w:val="21"/>
        </w:rPr>
        <w:t>（北京时间）</w:t>
      </w:r>
      <w:r>
        <w:rPr>
          <w:rFonts w:hint="eastAsia" w:ascii="宋体" w:hAnsi="宋体" w:cs="宋体"/>
          <w:iCs/>
          <w:szCs w:val="21"/>
          <w:u w:val="single"/>
        </w:rPr>
        <w:t>（</w:t>
      </w:r>
      <w:r>
        <w:rPr>
          <w:rFonts w:hint="eastAsia" w:ascii="宋体" w:hAnsi="宋体" w:cs="宋体"/>
          <w:i/>
          <w:szCs w:val="21"/>
          <w:u w:val="single"/>
        </w:rPr>
        <w:t>自招标文件开始发出之日起至投标人提交投标文件截止之日止，不得少于20日</w:t>
      </w:r>
      <w:r>
        <w:rPr>
          <w:rFonts w:hint="eastAsia" w:ascii="宋体" w:hAnsi="宋体" w:cs="宋体"/>
          <w:iCs/>
          <w:szCs w:val="21"/>
          <w:u w:val="single"/>
        </w:rPr>
        <w:t>）</w:t>
      </w:r>
    </w:p>
    <w:p>
      <w:pPr>
        <w:spacing w:line="360" w:lineRule="auto"/>
        <w:ind w:firstLine="420" w:firstLineChars="200"/>
        <w:rPr>
          <w:rFonts w:hint="eastAsia" w:ascii="宋体" w:hAnsi="宋体"/>
          <w:bCs/>
          <w:szCs w:val="21"/>
          <w:u w:val="single"/>
        </w:rPr>
      </w:pPr>
      <w:r>
        <w:rPr>
          <w:rFonts w:hint="eastAsia" w:ascii="宋体" w:hAnsi="宋体"/>
          <w:szCs w:val="21"/>
        </w:rPr>
        <w:t>地点：</w:t>
      </w:r>
      <w:r>
        <w:rPr>
          <w:rFonts w:hint="eastAsia" w:ascii="宋体" w:hAnsi="宋体" w:cs="宋体"/>
          <w:szCs w:val="21"/>
          <w:u w:val="single"/>
        </w:rPr>
        <w:t>福建省福州市鼓楼区五四路159号世界金龙大厦第14层A单元福建省智信招标有限公司开标大厅</w:t>
      </w:r>
    </w:p>
    <w:p>
      <w:pPr>
        <w:spacing w:before="156" w:beforeLines="50" w:after="156" w:afterLines="50" w:line="360" w:lineRule="auto"/>
        <w:outlineLvl w:val="1"/>
        <w:rPr>
          <w:rFonts w:hint="eastAsia" w:ascii="黑体" w:hAnsi="黑体" w:eastAsia="黑体"/>
          <w:szCs w:val="21"/>
        </w:rPr>
      </w:pPr>
      <w:bookmarkStart w:id="6" w:name="_Toc26183"/>
      <w:r>
        <w:rPr>
          <w:rFonts w:hint="eastAsia" w:ascii="黑体" w:hAnsi="黑体" w:eastAsia="黑体"/>
          <w:szCs w:val="21"/>
        </w:rPr>
        <w:t>五、公告期限</w:t>
      </w:r>
      <w:bookmarkEnd w:id="6"/>
    </w:p>
    <w:p>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numPr>
          <w:ilvl w:val="0"/>
          <w:numId w:val="3"/>
        </w:numPr>
        <w:spacing w:before="156" w:beforeLines="50" w:after="156" w:afterLines="50" w:line="360" w:lineRule="auto"/>
        <w:outlineLvl w:val="1"/>
        <w:rPr>
          <w:rFonts w:hint="eastAsia" w:ascii="黑体" w:hAnsi="黑体" w:eastAsia="黑体"/>
          <w:szCs w:val="21"/>
        </w:rPr>
      </w:pPr>
      <w:bookmarkStart w:id="7" w:name="_Toc16059"/>
      <w:r>
        <w:rPr>
          <w:rFonts w:hint="eastAsia" w:ascii="黑体" w:hAnsi="黑体" w:eastAsia="黑体"/>
          <w:szCs w:val="21"/>
        </w:rPr>
        <w:t>其他补充事宜</w:t>
      </w:r>
      <w:bookmarkEnd w:id="7"/>
    </w:p>
    <w:p>
      <w:pPr>
        <w:spacing w:before="156" w:beforeLines="50" w:after="156" w:afterLines="50" w:line="360" w:lineRule="auto"/>
        <w:outlineLvl w:val="1"/>
        <w:rPr>
          <w:rFonts w:hint="eastAsia" w:ascii="黑体" w:hAnsi="黑体" w:eastAsia="黑体"/>
          <w:szCs w:val="21"/>
        </w:rPr>
      </w:pPr>
      <w:bookmarkStart w:id="8" w:name="_Toc11247"/>
      <w:r>
        <w:rPr>
          <w:rFonts w:hint="eastAsia" w:ascii="宋体" w:hAnsi="宋体" w:cs="宋体"/>
          <w:kern w:val="0"/>
          <w:szCs w:val="21"/>
        </w:rPr>
        <w:t>无</w:t>
      </w:r>
    </w:p>
    <w:p>
      <w:pPr>
        <w:spacing w:before="156" w:beforeLines="50" w:after="156" w:afterLines="50" w:line="360" w:lineRule="auto"/>
        <w:outlineLvl w:val="1"/>
        <w:rPr>
          <w:rFonts w:hint="eastAsia" w:ascii="黑体" w:hAnsi="黑体" w:eastAsia="黑体"/>
          <w:szCs w:val="21"/>
        </w:rPr>
      </w:pPr>
      <w:r>
        <w:rPr>
          <w:rFonts w:hint="eastAsia" w:ascii="黑体" w:hAnsi="黑体" w:eastAsia="黑体"/>
          <w:szCs w:val="21"/>
        </w:rPr>
        <w:t>七、对本次招标提出询问，请按</w:t>
      </w:r>
      <w:r>
        <w:rPr>
          <w:rFonts w:ascii="黑体" w:hAnsi="黑体" w:eastAsia="黑体"/>
          <w:szCs w:val="21"/>
        </w:rPr>
        <w:t>以下方式</w:t>
      </w:r>
      <w:r>
        <w:rPr>
          <w:rFonts w:hint="eastAsia" w:ascii="黑体" w:hAnsi="黑体" w:eastAsia="黑体"/>
          <w:szCs w:val="21"/>
        </w:rPr>
        <w:t>联系。</w:t>
      </w:r>
      <w:bookmarkEnd w:id="8"/>
    </w:p>
    <w:p>
      <w:pPr>
        <w:widowControl/>
        <w:spacing w:line="360" w:lineRule="auto"/>
        <w:ind w:firstLine="420" w:firstLineChars="200"/>
        <w:jc w:val="left"/>
        <w:rPr>
          <w:rFonts w:hint="eastAsia" w:ascii="宋体" w:hAnsi="宋体"/>
          <w:szCs w:val="21"/>
        </w:rPr>
      </w:pPr>
      <w:r>
        <w:rPr>
          <w:rFonts w:hint="eastAsia" w:ascii="宋体" w:hAnsi="宋体" w:cs="宋体"/>
          <w:szCs w:val="21"/>
        </w:rPr>
        <w:t>1.采购人信息</w:t>
      </w:r>
    </w:p>
    <w:p>
      <w:pPr>
        <w:widowControl/>
        <w:spacing w:line="360" w:lineRule="auto"/>
        <w:ind w:firstLine="420" w:firstLineChars="200"/>
        <w:jc w:val="left"/>
        <w:rPr>
          <w:rFonts w:hint="eastAsia" w:ascii="宋体" w:hAnsi="宋体"/>
          <w:szCs w:val="21"/>
        </w:rPr>
      </w:pPr>
      <w:r>
        <w:rPr>
          <w:rFonts w:hint="eastAsia" w:ascii="宋体" w:hAnsi="宋体"/>
          <w:szCs w:val="21"/>
        </w:rPr>
        <w:t>名    称：</w:t>
      </w:r>
      <w:r>
        <w:rPr>
          <w:rFonts w:hint="eastAsia" w:ascii="宋体" w:hAnsi="宋体" w:cs="宋体"/>
          <w:szCs w:val="21"/>
          <w:u w:val="single"/>
        </w:rPr>
        <w:t>国家税务总局福建省税务局</w:t>
      </w:r>
    </w:p>
    <w:p>
      <w:pPr>
        <w:widowControl/>
        <w:spacing w:line="360" w:lineRule="auto"/>
        <w:ind w:firstLine="420" w:firstLineChars="200"/>
        <w:jc w:val="left"/>
        <w:rPr>
          <w:rFonts w:hint="eastAsia" w:ascii="宋体" w:hAnsi="宋体"/>
          <w:szCs w:val="21"/>
        </w:rPr>
      </w:pPr>
      <w:r>
        <w:rPr>
          <w:rFonts w:hint="eastAsia" w:ascii="宋体" w:hAnsi="宋体"/>
          <w:szCs w:val="21"/>
        </w:rPr>
        <w:t>地    址：</w:t>
      </w:r>
      <w:r>
        <w:rPr>
          <w:rFonts w:hint="eastAsia" w:ascii="宋体" w:hAnsi="宋体" w:cs="宋体"/>
          <w:szCs w:val="21"/>
          <w:u w:val="single"/>
        </w:rPr>
        <w:t>福州市鼓楼区铜盘路36号</w:t>
      </w:r>
    </w:p>
    <w:p>
      <w:pPr>
        <w:widowControl/>
        <w:spacing w:line="360" w:lineRule="auto"/>
        <w:ind w:firstLine="420" w:firstLineChars="200"/>
        <w:jc w:val="left"/>
        <w:rPr>
          <w:rFonts w:hint="eastAsia" w:ascii="宋体" w:hAnsi="宋体"/>
          <w:szCs w:val="21"/>
          <w:u w:val="single"/>
        </w:rPr>
      </w:pPr>
      <w:r>
        <w:rPr>
          <w:rFonts w:hint="eastAsia" w:ascii="宋体" w:hAnsi="宋体"/>
          <w:szCs w:val="21"/>
        </w:rPr>
        <w:t>联系</w:t>
      </w:r>
      <w:r>
        <w:rPr>
          <w:rFonts w:hint="eastAsia" w:ascii="宋体" w:hAnsi="宋体" w:cs="宋体"/>
          <w:szCs w:val="21"/>
        </w:rPr>
        <w:t>方式：</w:t>
      </w:r>
      <w:r>
        <w:rPr>
          <w:rFonts w:hint="eastAsia" w:ascii="宋体" w:hAnsi="宋体" w:cs="宋体"/>
          <w:szCs w:val="21"/>
          <w:u w:val="single"/>
        </w:rPr>
        <w:t xml:space="preserve">蔡工，0591-63118638 </w:t>
      </w:r>
    </w:p>
    <w:p>
      <w:pPr>
        <w:widowControl/>
        <w:spacing w:line="360" w:lineRule="auto"/>
        <w:ind w:firstLine="420" w:firstLineChars="200"/>
        <w:jc w:val="left"/>
        <w:rPr>
          <w:rFonts w:hint="eastAsia" w:ascii="宋体" w:hAnsi="宋体"/>
          <w:szCs w:val="21"/>
        </w:rPr>
      </w:pPr>
      <w:r>
        <w:rPr>
          <w:rFonts w:hint="eastAsia" w:ascii="宋体" w:hAnsi="宋体" w:cs="宋体"/>
          <w:szCs w:val="21"/>
        </w:rPr>
        <w:t>2.采购代理机构信息</w:t>
      </w:r>
    </w:p>
    <w:p>
      <w:pPr>
        <w:widowControl/>
        <w:spacing w:line="360" w:lineRule="auto"/>
        <w:ind w:firstLine="420" w:firstLineChars="200"/>
        <w:jc w:val="left"/>
        <w:rPr>
          <w:rFonts w:hint="eastAsia" w:ascii="宋体" w:hAnsi="宋体"/>
          <w:szCs w:val="21"/>
        </w:rPr>
      </w:pPr>
      <w:r>
        <w:rPr>
          <w:rFonts w:hint="eastAsia" w:ascii="宋体" w:hAnsi="宋体" w:cs="宋体"/>
          <w:szCs w:val="21"/>
        </w:rPr>
        <w:t>名    称</w:t>
      </w:r>
      <w:r>
        <w:rPr>
          <w:rFonts w:hint="eastAsia" w:ascii="宋体" w:hAnsi="宋体"/>
          <w:szCs w:val="21"/>
        </w:rPr>
        <w:t>：</w:t>
      </w:r>
      <w:r>
        <w:rPr>
          <w:rFonts w:hint="eastAsia" w:ascii="宋体" w:hAnsi="宋体" w:cs="宋体"/>
          <w:szCs w:val="21"/>
          <w:u w:val="single"/>
        </w:rPr>
        <w:t>福建省智信招标有限公司</w:t>
      </w:r>
    </w:p>
    <w:p>
      <w:pPr>
        <w:widowControl/>
        <w:spacing w:line="360" w:lineRule="auto"/>
        <w:ind w:firstLine="420" w:firstLineChars="200"/>
        <w:jc w:val="left"/>
        <w:rPr>
          <w:rFonts w:hint="eastAsia" w:ascii="宋体" w:hAnsi="宋体"/>
          <w:szCs w:val="21"/>
        </w:rPr>
      </w:pPr>
      <w:r>
        <w:rPr>
          <w:rFonts w:hint="eastAsia" w:ascii="宋体" w:hAnsi="宋体" w:cs="宋体"/>
          <w:szCs w:val="21"/>
        </w:rPr>
        <w:t>地  　址</w:t>
      </w:r>
      <w:r>
        <w:rPr>
          <w:rFonts w:hint="eastAsia" w:ascii="宋体" w:hAnsi="宋体"/>
          <w:szCs w:val="21"/>
        </w:rPr>
        <w:t>：</w:t>
      </w:r>
      <w:r>
        <w:rPr>
          <w:rFonts w:hint="eastAsia" w:ascii="宋体" w:hAnsi="宋体" w:cs="宋体"/>
          <w:szCs w:val="21"/>
          <w:u w:val="single"/>
        </w:rPr>
        <w:t>福建省福州市鼓楼区五四路159号世界金龙大厦第14层A、C1单元</w:t>
      </w:r>
    </w:p>
    <w:p>
      <w:pPr>
        <w:widowControl/>
        <w:spacing w:line="360" w:lineRule="auto"/>
        <w:ind w:firstLine="420" w:firstLineChars="200"/>
        <w:jc w:val="left"/>
        <w:rPr>
          <w:rFonts w:hint="eastAsia" w:ascii="宋体" w:hAnsi="宋体"/>
          <w:szCs w:val="21"/>
        </w:rPr>
      </w:pPr>
      <w:r>
        <w:rPr>
          <w:rFonts w:hint="eastAsia" w:ascii="宋体" w:hAnsi="宋体"/>
          <w:szCs w:val="21"/>
        </w:rPr>
        <w:t>联系方式：</w:t>
      </w:r>
      <w:r>
        <w:rPr>
          <w:rFonts w:hint="eastAsia" w:ascii="宋体" w:hAnsi="宋体" w:cs="宋体"/>
          <w:szCs w:val="21"/>
          <w:u w:val="single"/>
        </w:rPr>
        <w:t>廖丽松、张博艺、黄金花，0591-88318332、87530730、87616211转803</w:t>
      </w:r>
    </w:p>
    <w:p>
      <w:pPr>
        <w:widowControl/>
        <w:spacing w:line="360" w:lineRule="auto"/>
        <w:ind w:firstLine="420" w:firstLineChars="200"/>
        <w:jc w:val="left"/>
        <w:rPr>
          <w:rFonts w:hint="eastAsia" w:ascii="宋体" w:hAnsi="宋体"/>
          <w:szCs w:val="21"/>
          <w:u w:val="single"/>
        </w:rPr>
      </w:pPr>
      <w:r>
        <w:rPr>
          <w:rFonts w:hint="eastAsia" w:ascii="宋体" w:hAnsi="宋体" w:cs="宋体"/>
          <w:szCs w:val="21"/>
        </w:rPr>
        <w:t>3.项目</w:t>
      </w:r>
      <w:r>
        <w:rPr>
          <w:rFonts w:ascii="宋体" w:hAnsi="宋体" w:cs="宋体"/>
          <w:szCs w:val="21"/>
        </w:rPr>
        <w:t>联系方式</w:t>
      </w:r>
    </w:p>
    <w:p>
      <w:pPr>
        <w:widowControl/>
        <w:spacing w:line="360" w:lineRule="auto"/>
        <w:ind w:firstLine="420" w:firstLineChars="200"/>
        <w:jc w:val="left"/>
        <w:rPr>
          <w:rFonts w:hint="eastAsia" w:ascii="宋体" w:hAnsi="宋体"/>
          <w:szCs w:val="21"/>
        </w:rPr>
      </w:pPr>
      <w:r>
        <w:rPr>
          <w:rFonts w:hint="eastAsia" w:ascii="宋体" w:hAnsi="宋体"/>
          <w:szCs w:val="21"/>
        </w:rPr>
        <w:t>项目联系人：</w:t>
      </w:r>
      <w:r>
        <w:rPr>
          <w:rFonts w:hint="eastAsia" w:ascii="宋体" w:hAnsi="宋体" w:cs="宋体"/>
          <w:szCs w:val="21"/>
          <w:u w:val="single"/>
        </w:rPr>
        <w:t>廖丽松、张博艺、黄金花</w:t>
      </w:r>
    </w:p>
    <w:p>
      <w:pPr>
        <w:widowControl/>
        <w:spacing w:line="360" w:lineRule="auto"/>
        <w:ind w:firstLine="420" w:firstLineChars="200"/>
        <w:jc w:val="left"/>
        <w:rPr>
          <w:rFonts w:hint="eastAsia" w:ascii="宋体" w:hAnsi="宋体"/>
          <w:szCs w:val="21"/>
          <w:u w:val="single"/>
        </w:rPr>
      </w:pPr>
      <w:r>
        <w:rPr>
          <w:rFonts w:hint="eastAsia" w:ascii="宋体" w:hAnsi="宋体" w:cs="宋体"/>
          <w:szCs w:val="21"/>
        </w:rPr>
        <w:t>电　    话</w:t>
      </w:r>
      <w:r>
        <w:rPr>
          <w:rFonts w:hint="eastAsia" w:ascii="宋体" w:hAnsi="宋体"/>
          <w:szCs w:val="21"/>
        </w:rPr>
        <w:t>：</w:t>
      </w:r>
      <w:r>
        <w:rPr>
          <w:rFonts w:hint="eastAsia" w:ascii="宋体" w:hAnsi="宋体" w:cs="宋体"/>
          <w:szCs w:val="21"/>
          <w:u w:val="single"/>
        </w:rPr>
        <w:t>0591-88318332、87530730、87616211转803</w:t>
      </w:r>
    </w:p>
    <w:p>
      <w:pPr>
        <w:spacing w:line="360" w:lineRule="auto"/>
      </w:pPr>
    </w:p>
    <w:p>
      <w:pPr>
        <w:spacing w:line="360" w:lineRule="auto"/>
        <w:sectPr>
          <w:pgSz w:w="11906" w:h="16838"/>
          <w:pgMar w:top="1440" w:right="1752" w:bottom="1440" w:left="1752" w:header="851" w:footer="992" w:gutter="0"/>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9" w:name="_Toc13204"/>
      <w:bookmarkStart w:id="10" w:name="_Toc132880272"/>
      <w:r>
        <w:rPr>
          <w:rFonts w:hint="eastAsia" w:ascii="华文中宋" w:hAnsi="华文中宋" w:eastAsia="华文中宋" w:cs="华文中宋"/>
          <w:sz w:val="28"/>
          <w:szCs w:val="28"/>
        </w:rPr>
        <w:t>第二章　投标人须知</w:t>
      </w:r>
      <w:bookmarkEnd w:id="9"/>
      <w:bookmarkEnd w:id="10"/>
    </w:p>
    <w:p>
      <w:pPr>
        <w:jc w:val="center"/>
        <w:outlineLvl w:val="1"/>
        <w:rPr>
          <w:rFonts w:hint="eastAsia" w:ascii="方正小标宋简体" w:hAnsi="方正小标宋简体" w:eastAsia="方正小标宋简体" w:cs="方正小标宋简体"/>
          <w:sz w:val="24"/>
          <w:szCs w:val="24"/>
        </w:rPr>
      </w:pPr>
      <w:bookmarkStart w:id="11" w:name="_Toc22038"/>
      <w:bookmarkStart w:id="12" w:name="_Toc132880273"/>
      <w:r>
        <w:rPr>
          <w:rFonts w:hint="eastAsia" w:ascii="方正小标宋简体" w:hAnsi="方正小标宋简体" w:eastAsia="方正小标宋简体" w:cs="方正小标宋简体"/>
          <w:sz w:val="24"/>
          <w:szCs w:val="24"/>
        </w:rPr>
        <w:t>投标人须知前附表</w:t>
      </w:r>
      <w:bookmarkEnd w:id="11"/>
      <w:bookmarkEnd w:id="12"/>
    </w:p>
    <w:tbl>
      <w:tblPr>
        <w:tblStyle w:val="2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63"/>
        <w:gridCol w:w="972"/>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b/>
                <w:szCs w:val="21"/>
              </w:rPr>
            </w:pPr>
            <w:r>
              <w:rPr>
                <w:rFonts w:ascii="Times New Roman" w:hAnsi="Times New Roman"/>
                <w:b/>
                <w:szCs w:val="21"/>
              </w:rPr>
              <w:t>序 号</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b/>
                <w:szCs w:val="21"/>
              </w:rPr>
            </w:pPr>
            <w:r>
              <w:rPr>
                <w:rFonts w:ascii="Times New Roman" w:hAnsi="Times New Roman"/>
                <w:b/>
                <w:szCs w:val="21"/>
              </w:rPr>
              <w:t>类  别</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b/>
                <w:szCs w:val="21"/>
              </w:rPr>
            </w:pPr>
            <w:r>
              <w:rPr>
                <w:rFonts w:ascii="Times New Roman" w:hAnsi="Times New Roman"/>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w:t>
            </w:r>
          </w:p>
        </w:tc>
        <w:tc>
          <w:tcPr>
            <w:tcW w:w="1863"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Times New Roman" w:hAnsi="Times New Roman"/>
                <w:b/>
                <w:szCs w:val="21"/>
              </w:rPr>
            </w:pPr>
            <w:r>
              <w:rPr>
                <w:rFonts w:ascii="Times New Roman" w:hAnsi="Times New Roman"/>
                <w:szCs w:val="21"/>
              </w:rPr>
              <w:t>项目名称、编号、预算及最高限价</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Cs w:val="21"/>
              </w:rPr>
            </w:pPr>
            <w:r>
              <w:rPr>
                <w:rFonts w:hint="eastAsia" w:ascii="宋体" w:hAnsi="宋体" w:cs="宋体"/>
                <w:szCs w:val="21"/>
              </w:rPr>
              <w:t>项目名称：</w:t>
            </w:r>
            <w:r>
              <w:rPr>
                <w:rFonts w:hint="eastAsia" w:ascii="宋体" w:hAnsi="宋体"/>
                <w:szCs w:val="21"/>
              </w:rPr>
              <w:t>福建税务2024年税费业务场景区块链基础平台应用推广项目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p>
        </w:tc>
        <w:tc>
          <w:tcPr>
            <w:tcW w:w="1863" w:type="dxa"/>
            <w:vMerge w:val="continue"/>
            <w:tcBorders>
              <w:left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Cs w:val="21"/>
              </w:rPr>
            </w:pPr>
            <w:r>
              <w:rPr>
                <w:rFonts w:hint="eastAsia" w:ascii="宋体" w:hAnsi="宋体" w:cs="宋体"/>
                <w:szCs w:val="21"/>
              </w:rPr>
              <w:t>项目编号：</w:t>
            </w:r>
            <w:r>
              <w:rPr>
                <w:rFonts w:hint="eastAsia" w:ascii="宋体" w:hAnsi="宋体"/>
                <w:szCs w:val="21"/>
              </w:rPr>
              <w:t>FJ2024-DLGK-C0050-B04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p>
        </w:tc>
        <w:tc>
          <w:tcPr>
            <w:tcW w:w="1863" w:type="dxa"/>
            <w:vMerge w:val="continue"/>
            <w:tcBorders>
              <w:left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Cs w:val="21"/>
              </w:rPr>
            </w:pPr>
            <w:r>
              <w:rPr>
                <w:rFonts w:hint="eastAsia" w:ascii="宋体" w:hAnsi="宋体" w:cs="宋体"/>
                <w:szCs w:val="21"/>
              </w:rPr>
              <w:t>项目预算：</w:t>
            </w:r>
            <w:r>
              <w:rPr>
                <w:rFonts w:hint="eastAsia" w:ascii="宋体" w:hAnsi="宋体" w:cs="宋体"/>
                <w:szCs w:val="21"/>
                <w:u w:val="single"/>
              </w:rPr>
              <w:t>269.83万元（人民币），</w:t>
            </w:r>
            <w:r>
              <w:rPr>
                <w:rFonts w:hint="eastAsia" w:ascii="宋体" w:hAnsi="宋体" w:cs="宋体"/>
                <w:szCs w:val="21"/>
              </w:rPr>
              <w:t>其中采购包1预算金额为</w:t>
            </w:r>
            <w:r>
              <w:rPr>
                <w:rFonts w:hint="eastAsia" w:ascii="宋体" w:hAnsi="宋体" w:cs="宋体"/>
                <w:szCs w:val="21"/>
                <w:u w:val="single"/>
              </w:rPr>
              <w:t>117.31万元（人民币）</w:t>
            </w:r>
            <w:r>
              <w:rPr>
                <w:rFonts w:hint="eastAsia" w:ascii="宋体" w:hAnsi="宋体" w:cs="宋体"/>
                <w:szCs w:val="21"/>
              </w:rPr>
              <w:t>，采购包2预算金额为</w:t>
            </w:r>
            <w:r>
              <w:rPr>
                <w:rFonts w:hint="eastAsia" w:ascii="宋体" w:hAnsi="宋体" w:cs="宋体"/>
                <w:szCs w:val="21"/>
                <w:u w:val="single"/>
              </w:rPr>
              <w:t>103.41万元（人民币）</w:t>
            </w:r>
            <w:r>
              <w:rPr>
                <w:rFonts w:hint="eastAsia" w:ascii="宋体" w:hAnsi="宋体" w:cs="宋体"/>
                <w:szCs w:val="21"/>
              </w:rPr>
              <w:t>，采购包3预算金额为</w:t>
            </w:r>
            <w:r>
              <w:rPr>
                <w:rFonts w:hint="eastAsia" w:ascii="宋体" w:hAnsi="宋体" w:cs="宋体"/>
                <w:szCs w:val="21"/>
                <w:u w:val="single"/>
              </w:rPr>
              <w:t>10.66万元（人民币）</w:t>
            </w:r>
            <w:r>
              <w:rPr>
                <w:rFonts w:hint="eastAsia" w:ascii="宋体" w:hAnsi="宋体" w:cs="宋体"/>
                <w:szCs w:val="21"/>
              </w:rPr>
              <w:t>，采购包4预算金额为</w:t>
            </w:r>
            <w:r>
              <w:rPr>
                <w:rFonts w:hint="eastAsia" w:ascii="宋体" w:hAnsi="宋体" w:cs="宋体"/>
                <w:szCs w:val="21"/>
                <w:u w:val="single"/>
              </w:rPr>
              <w:t>38.45万元（人民币）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p>
        </w:tc>
        <w:tc>
          <w:tcPr>
            <w:tcW w:w="1863"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Cs w:val="21"/>
              </w:rPr>
            </w:pPr>
            <w:r>
              <w:rPr>
                <w:rFonts w:hint="eastAsia" w:ascii="宋体" w:hAnsi="宋体" w:cs="宋体"/>
                <w:szCs w:val="21"/>
              </w:rPr>
              <w:t>最高限价：</w:t>
            </w:r>
            <w:bookmarkStart w:id="99" w:name="_GoBack"/>
            <w:bookmarkEnd w:id="99"/>
            <w:r>
              <w:rPr>
                <w:rFonts w:hint="eastAsia" w:ascii="宋体" w:hAnsi="宋体" w:cs="宋体"/>
                <w:szCs w:val="21"/>
                <w:u w:val="single"/>
              </w:rPr>
              <w:t>269.83万元（人民币），</w:t>
            </w:r>
            <w:r>
              <w:rPr>
                <w:rFonts w:hint="eastAsia" w:ascii="宋体" w:hAnsi="宋体" w:cs="宋体"/>
                <w:szCs w:val="21"/>
              </w:rPr>
              <w:t>其中采购包1最高限价为</w:t>
            </w:r>
            <w:r>
              <w:rPr>
                <w:rFonts w:hint="eastAsia" w:ascii="宋体" w:hAnsi="宋体" w:cs="宋体"/>
                <w:szCs w:val="21"/>
                <w:u w:val="single"/>
              </w:rPr>
              <w:t>117.31万元（人民币）</w:t>
            </w:r>
            <w:r>
              <w:rPr>
                <w:rFonts w:hint="eastAsia" w:ascii="宋体" w:hAnsi="宋体" w:cs="宋体"/>
                <w:szCs w:val="21"/>
              </w:rPr>
              <w:t>，采购包2最高限价为</w:t>
            </w:r>
            <w:r>
              <w:rPr>
                <w:rFonts w:hint="eastAsia" w:ascii="宋体" w:hAnsi="宋体" w:cs="宋体"/>
                <w:szCs w:val="21"/>
                <w:u w:val="single"/>
              </w:rPr>
              <w:t>103.41万元（人民币）</w:t>
            </w:r>
            <w:r>
              <w:rPr>
                <w:rFonts w:hint="eastAsia" w:ascii="宋体" w:hAnsi="宋体" w:cs="宋体"/>
                <w:szCs w:val="21"/>
              </w:rPr>
              <w:t>，采购包3最高限价为</w:t>
            </w:r>
            <w:r>
              <w:rPr>
                <w:rFonts w:hint="eastAsia" w:ascii="宋体" w:hAnsi="宋体" w:cs="宋体"/>
                <w:szCs w:val="21"/>
                <w:u w:val="single"/>
              </w:rPr>
              <w:t>10.66万元（人民币）</w:t>
            </w:r>
            <w:r>
              <w:rPr>
                <w:rFonts w:hint="eastAsia" w:ascii="宋体" w:hAnsi="宋体" w:cs="宋体"/>
                <w:szCs w:val="21"/>
              </w:rPr>
              <w:t>，采购包4最高限价为</w:t>
            </w:r>
            <w:r>
              <w:rPr>
                <w:rFonts w:hint="eastAsia" w:ascii="宋体" w:hAnsi="宋体" w:cs="宋体"/>
                <w:szCs w:val="21"/>
                <w:u w:val="single"/>
              </w:rPr>
              <w:t>38.45万元（人民币）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采购需求</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3</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项目属性和类别</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b/>
                <w:szCs w:val="21"/>
              </w:rPr>
            </w:pPr>
            <w:r>
              <w:rPr>
                <w:rFonts w:ascii="Times New Roman" w:hAnsi="Times New Roman"/>
                <w:b/>
                <w:szCs w:val="21"/>
              </w:rPr>
              <w:t>项目属性：</w:t>
            </w:r>
            <w:r>
              <w:rPr>
                <w:rFonts w:hint="eastAsia" w:ascii="Times New Roman" w:hAnsi="Times New Roman"/>
                <w:szCs w:val="21"/>
              </w:rPr>
              <w:t>□</w:t>
            </w:r>
            <w:r>
              <w:rPr>
                <w:rFonts w:ascii="Times New Roman" w:hAnsi="Times New Roman"/>
                <w:szCs w:val="21"/>
              </w:rPr>
              <w:t xml:space="preserve">货物           </w:t>
            </w:r>
            <w:r>
              <w:rPr>
                <w:rFonts w:hint="eastAsia" w:ascii="Times New Roman" w:hAnsi="Times New Roman"/>
                <w:szCs w:val="21"/>
              </w:rPr>
              <w:t>☑</w:t>
            </w:r>
            <w:r>
              <w:rPr>
                <w:rFonts w:ascii="Times New Roman" w:hAnsi="Times New Roman"/>
                <w:szCs w:val="21"/>
              </w:rPr>
              <w:t>服务</w:t>
            </w:r>
          </w:p>
          <w:p>
            <w:pPr>
              <w:adjustRightInd w:val="0"/>
              <w:snapToGrid w:val="0"/>
              <w:spacing w:line="400" w:lineRule="exact"/>
              <w:jc w:val="left"/>
              <w:rPr>
                <w:rFonts w:ascii="Times New Roman" w:hAnsi="Times New Roman"/>
                <w:szCs w:val="21"/>
              </w:rPr>
            </w:pPr>
            <w:r>
              <w:rPr>
                <w:rFonts w:ascii="Times New Roman" w:hAnsi="Times New Roman"/>
                <w:b/>
                <w:bCs/>
                <w:szCs w:val="21"/>
              </w:rPr>
              <w:t>项目类别：</w:t>
            </w:r>
            <w:r>
              <w:rPr>
                <w:rFonts w:hint="eastAsia" w:ascii="Times New Roman" w:hAnsi="Times New Roman"/>
                <w:szCs w:val="21"/>
              </w:rPr>
              <w:sym w:font="Wingdings 2" w:char="0052"/>
            </w:r>
            <w:r>
              <w:rPr>
                <w:rFonts w:ascii="Times New Roman" w:hAnsi="Times New Roman"/>
                <w:szCs w:val="21"/>
              </w:rPr>
              <w:t xml:space="preserve">信息化项目     </w:t>
            </w:r>
            <w:r>
              <w:rPr>
                <w:rFonts w:hint="eastAsia" w:ascii="Times New Roman" w:hAnsi="Times New Roman"/>
                <w:szCs w:val="21"/>
              </w:rPr>
              <w:t>□</w:t>
            </w:r>
            <w:r>
              <w:rPr>
                <w:rFonts w:ascii="Times New Roman" w:hAnsi="Times New Roman"/>
                <w:szCs w:val="21"/>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4</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采购人</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名称：</w:t>
            </w:r>
            <w:r>
              <w:rPr>
                <w:rFonts w:hint="eastAsia" w:ascii="宋体" w:hAnsi="宋体" w:cs="宋体"/>
                <w:szCs w:val="21"/>
                <w:u w:val="single"/>
              </w:rPr>
              <w:t>国家税务总局福建省税务局</w:t>
            </w:r>
          </w:p>
          <w:p>
            <w:pPr>
              <w:adjustRightInd w:val="0"/>
              <w:snapToGrid w:val="0"/>
              <w:spacing w:line="400" w:lineRule="exact"/>
              <w:jc w:val="left"/>
              <w:rPr>
                <w:rFonts w:ascii="Times New Roman" w:hAnsi="Times New Roman"/>
                <w:bCs/>
                <w:szCs w:val="21"/>
              </w:rPr>
            </w:pPr>
            <w:r>
              <w:rPr>
                <w:rFonts w:ascii="Times New Roman" w:hAnsi="Times New Roman"/>
                <w:szCs w:val="21"/>
              </w:rPr>
              <w:t>地址：</w:t>
            </w:r>
            <w:r>
              <w:rPr>
                <w:rFonts w:hint="eastAsia" w:ascii="宋体" w:hAnsi="宋体" w:cs="宋体"/>
                <w:szCs w:val="21"/>
                <w:u w:val="single"/>
              </w:rPr>
              <w:t>福州市鼓楼区铜盘路36号</w:t>
            </w:r>
          </w:p>
          <w:p>
            <w:pPr>
              <w:adjustRightInd w:val="0"/>
              <w:snapToGrid w:val="0"/>
              <w:spacing w:line="400" w:lineRule="exact"/>
              <w:jc w:val="left"/>
              <w:rPr>
                <w:rFonts w:ascii="Times New Roman" w:hAnsi="Times New Roman"/>
                <w:bCs/>
                <w:szCs w:val="21"/>
                <w:u w:val="single"/>
              </w:rPr>
            </w:pPr>
            <w:r>
              <w:rPr>
                <w:rFonts w:ascii="Times New Roman" w:hAnsi="Times New Roman"/>
                <w:szCs w:val="21"/>
              </w:rPr>
              <w:t>联系</w:t>
            </w:r>
            <w:r>
              <w:rPr>
                <w:rFonts w:hint="eastAsia" w:ascii="Times New Roman" w:hAnsi="Times New Roman"/>
                <w:bCs/>
                <w:szCs w:val="21"/>
              </w:rPr>
              <w:t>人</w:t>
            </w:r>
            <w:r>
              <w:rPr>
                <w:rFonts w:ascii="Times New Roman" w:hAnsi="Times New Roman"/>
                <w:bCs/>
                <w:szCs w:val="21"/>
              </w:rPr>
              <w:t>：</w:t>
            </w:r>
            <w:r>
              <w:rPr>
                <w:rFonts w:hint="eastAsia" w:ascii="宋体" w:hAnsi="宋体" w:cs="宋体"/>
                <w:szCs w:val="21"/>
                <w:u w:val="single"/>
              </w:rPr>
              <w:t xml:space="preserve"> 蔡工 </w:t>
            </w:r>
          </w:p>
          <w:p>
            <w:pPr>
              <w:adjustRightInd w:val="0"/>
              <w:snapToGrid w:val="0"/>
              <w:spacing w:line="400" w:lineRule="exact"/>
              <w:jc w:val="left"/>
              <w:rPr>
                <w:rFonts w:ascii="Times New Roman" w:hAnsi="Times New Roman"/>
                <w:szCs w:val="21"/>
              </w:rPr>
            </w:pPr>
            <w:r>
              <w:rPr>
                <w:rFonts w:ascii="Times New Roman" w:hAnsi="Times New Roman"/>
                <w:szCs w:val="21"/>
              </w:rPr>
              <w:t>联系方式：</w:t>
            </w:r>
            <w:r>
              <w:rPr>
                <w:rFonts w:hint="eastAsia" w:ascii="宋体" w:hAnsi="宋体" w:cs="宋体"/>
                <w:szCs w:val="21"/>
                <w:u w:val="single"/>
              </w:rPr>
              <w:t xml:space="preserve"> 0591-63118638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5</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采购代理机构</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名称：</w:t>
            </w:r>
            <w:r>
              <w:rPr>
                <w:rFonts w:hint="eastAsia" w:ascii="宋体" w:hAnsi="宋体" w:cs="宋体"/>
                <w:szCs w:val="21"/>
                <w:u w:val="single"/>
              </w:rPr>
              <w:t>福建省智信招标有限公司</w:t>
            </w:r>
          </w:p>
          <w:p>
            <w:pPr>
              <w:adjustRightInd w:val="0"/>
              <w:snapToGrid w:val="0"/>
              <w:spacing w:line="400" w:lineRule="exact"/>
              <w:jc w:val="left"/>
              <w:rPr>
                <w:rFonts w:ascii="Times New Roman" w:hAnsi="Times New Roman"/>
                <w:bCs/>
                <w:szCs w:val="21"/>
              </w:rPr>
            </w:pPr>
            <w:r>
              <w:rPr>
                <w:rFonts w:ascii="Times New Roman" w:hAnsi="Times New Roman"/>
                <w:szCs w:val="21"/>
              </w:rPr>
              <w:t>地址：</w:t>
            </w:r>
            <w:r>
              <w:rPr>
                <w:rFonts w:hint="eastAsia" w:ascii="宋体" w:hAnsi="宋体" w:cs="宋体"/>
                <w:szCs w:val="21"/>
                <w:u w:val="single"/>
              </w:rPr>
              <w:t>福建省福州市鼓楼区五四路159号世界金龙大厦第14层A、C1单元</w:t>
            </w:r>
          </w:p>
          <w:p>
            <w:pPr>
              <w:adjustRightInd w:val="0"/>
              <w:snapToGrid w:val="0"/>
              <w:spacing w:line="400" w:lineRule="exact"/>
              <w:jc w:val="left"/>
              <w:rPr>
                <w:rFonts w:ascii="Times New Roman" w:hAnsi="Times New Roman"/>
                <w:bCs/>
                <w:szCs w:val="21"/>
                <w:u w:val="single"/>
              </w:rPr>
            </w:pPr>
            <w:r>
              <w:rPr>
                <w:rFonts w:ascii="Times New Roman" w:hAnsi="Times New Roman"/>
                <w:szCs w:val="21"/>
              </w:rPr>
              <w:t>联系</w:t>
            </w:r>
            <w:r>
              <w:rPr>
                <w:rFonts w:hint="eastAsia" w:ascii="Times New Roman" w:hAnsi="Times New Roman"/>
                <w:bCs/>
                <w:szCs w:val="21"/>
              </w:rPr>
              <w:t>人</w:t>
            </w:r>
            <w:r>
              <w:rPr>
                <w:rFonts w:ascii="Times New Roman" w:hAnsi="Times New Roman"/>
                <w:bCs/>
                <w:szCs w:val="21"/>
              </w:rPr>
              <w:t>：</w:t>
            </w:r>
            <w:r>
              <w:rPr>
                <w:rFonts w:hint="eastAsia" w:ascii="宋体" w:hAnsi="宋体" w:cs="宋体"/>
                <w:szCs w:val="21"/>
                <w:u w:val="single"/>
              </w:rPr>
              <w:t>廖丽松、张博艺、黄金花</w:t>
            </w:r>
          </w:p>
          <w:p>
            <w:pPr>
              <w:adjustRightInd w:val="0"/>
              <w:snapToGrid w:val="0"/>
              <w:spacing w:line="400" w:lineRule="exact"/>
              <w:jc w:val="left"/>
              <w:rPr>
                <w:rFonts w:hint="eastAsia" w:ascii="宋体" w:hAnsi="宋体" w:cs="宋体"/>
                <w:szCs w:val="21"/>
                <w:u w:val="single"/>
              </w:rPr>
            </w:pPr>
            <w:r>
              <w:rPr>
                <w:rFonts w:ascii="Times New Roman" w:hAnsi="Times New Roman"/>
                <w:szCs w:val="21"/>
              </w:rPr>
              <w:t>联系方式：</w:t>
            </w:r>
            <w:r>
              <w:rPr>
                <w:rFonts w:hint="eastAsia" w:ascii="宋体" w:hAnsi="宋体" w:cs="宋体"/>
                <w:szCs w:val="21"/>
                <w:u w:val="single"/>
              </w:rPr>
              <w:t>0591-88318332、87530730、87616211转803</w:t>
            </w:r>
          </w:p>
          <w:p>
            <w:pPr>
              <w:adjustRightInd w:val="0"/>
              <w:snapToGrid w:val="0"/>
              <w:spacing w:line="400" w:lineRule="exact"/>
              <w:jc w:val="left"/>
              <w:rPr>
                <w:rFonts w:ascii="Times New Roman" w:hAnsi="Times New Roman"/>
                <w:szCs w:val="21"/>
              </w:rPr>
            </w:pPr>
            <w:r>
              <w:rPr>
                <w:rFonts w:ascii="Times New Roman" w:hAnsi="Times New Roman"/>
                <w:szCs w:val="21"/>
              </w:rPr>
              <w:t>邮箱：</w:t>
            </w:r>
            <w:r>
              <w:rPr>
                <w:rFonts w:hint="eastAsia" w:ascii="宋体" w:hAnsi="宋体" w:cs="宋体"/>
                <w:szCs w:val="21"/>
                <w:u w:val="single"/>
              </w:rPr>
              <w:t>zhixin01@126.com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6</w:t>
            </w: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Cs w:val="21"/>
              </w:rPr>
            </w:pPr>
            <w:r>
              <w:rPr>
                <w:rFonts w:ascii="Times New Roman" w:hAnsi="Times New Roman"/>
                <w:szCs w:val="21"/>
              </w:rPr>
              <w:t>投标人资格要求</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hint="eastAsia" w:ascii="Times New Roman" w:hAnsi="Times New Roman"/>
                <w:szCs w:val="21"/>
              </w:rPr>
              <w:t>详见第一章投标邀请“二、申请人的资格要求”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7</w:t>
            </w: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Cs w:val="21"/>
              </w:rPr>
            </w:pPr>
            <w:r>
              <w:rPr>
                <w:rFonts w:ascii="Times New Roman" w:hAnsi="Times New Roman"/>
                <w:szCs w:val="21"/>
              </w:rPr>
              <w:t>是否接受联合体投标</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不接受</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8</w:t>
            </w:r>
          </w:p>
        </w:tc>
        <w:tc>
          <w:tcPr>
            <w:tcW w:w="186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采购标的</w:t>
            </w:r>
            <w:r>
              <w:rPr>
                <w:rFonts w:hint="eastAsia" w:ascii="Times New Roman" w:hAnsi="Times New Roman"/>
                <w:szCs w:val="21"/>
              </w:rPr>
              <w:t>（采购包1、2、3、4）</w:t>
            </w:r>
            <w:r>
              <w:rPr>
                <w:rFonts w:ascii="Times New Roman" w:hAnsi="Times New Roman"/>
                <w:szCs w:val="21"/>
              </w:rPr>
              <w:t>对应的中小企业划分标准所属行业</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Cs w:val="21"/>
              </w:rPr>
            </w:pPr>
            <w:r>
              <w:rPr>
                <w:rFonts w:hint="eastAsia" w:ascii="Times New Roman" w:hAnsi="Times New Roman"/>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9</w:t>
            </w:r>
          </w:p>
        </w:tc>
        <w:tc>
          <w:tcPr>
            <w:tcW w:w="186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主体、非关键性工作分包</w:t>
            </w:r>
          </w:p>
        </w:tc>
        <w:tc>
          <w:tcPr>
            <w:tcW w:w="61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是否允许中标人将本项目的</w:t>
            </w:r>
            <w:r>
              <w:rPr>
                <w:rFonts w:hint="eastAsia" w:ascii="Times New Roman" w:hAnsi="Times New Roman"/>
                <w:szCs w:val="21"/>
              </w:rPr>
              <w:t>非</w:t>
            </w:r>
            <w:r>
              <w:rPr>
                <w:rFonts w:ascii="Times New Roman" w:hAnsi="Times New Roman"/>
                <w:szCs w:val="21"/>
              </w:rPr>
              <w:t>主体、</w:t>
            </w:r>
            <w:r>
              <w:rPr>
                <w:rFonts w:hint="eastAsia" w:ascii="Times New Roman" w:hAnsi="Times New Roman"/>
                <w:szCs w:val="21"/>
              </w:rPr>
              <w:t>非</w:t>
            </w:r>
            <w:r>
              <w:rPr>
                <w:rFonts w:ascii="Times New Roman" w:hAnsi="Times New Roman"/>
                <w:szCs w:val="21"/>
              </w:rPr>
              <w:t>关键性工作进行分包：</w:t>
            </w:r>
          </w:p>
          <w:p>
            <w:pPr>
              <w:adjustRightInd w:val="0"/>
              <w:snapToGrid w:val="0"/>
              <w:spacing w:line="400" w:lineRule="exact"/>
              <w:jc w:val="left"/>
              <w:rPr>
                <w:rFonts w:ascii="Times New Roman" w:hAnsi="Times New Roman"/>
                <w:szCs w:val="21"/>
              </w:rPr>
            </w:pPr>
            <w:r>
              <w:rPr>
                <w:rFonts w:ascii="Times New Roman" w:hAnsi="Times New Roman"/>
                <w:szCs w:val="21"/>
              </w:rPr>
              <w:t>采购包1</w:t>
            </w:r>
            <w:r>
              <w:rPr>
                <w:rFonts w:hint="eastAsia" w:ascii="Times New Roman" w:hAnsi="Times New Roman"/>
                <w:szCs w:val="21"/>
              </w:rPr>
              <w:t>、采购包2、采购包3、采购包4</w:t>
            </w:r>
            <w:r>
              <w:rPr>
                <w:rFonts w:ascii="Times New Roman" w:hAnsi="Times New Roman"/>
                <w:szCs w:val="21"/>
              </w:rPr>
              <w:t>：</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不允许</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允许，（写明可以分包履行的具体内容、金额或者比例）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10</w:t>
            </w:r>
          </w:p>
        </w:tc>
        <w:tc>
          <w:tcPr>
            <w:tcW w:w="1863"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核心产品</w:t>
            </w:r>
          </w:p>
        </w:tc>
        <w:tc>
          <w:tcPr>
            <w:tcW w:w="6179" w:type="dxa"/>
            <w:gridSpan w:val="2"/>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货物类项目填写此栏</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无</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有</w:t>
            </w:r>
          </w:p>
          <w:p>
            <w:pPr>
              <w:adjustRightInd w:val="0"/>
              <w:snapToGrid w:val="0"/>
              <w:spacing w:line="400" w:lineRule="exact"/>
              <w:jc w:val="left"/>
              <w:rPr>
                <w:rFonts w:ascii="Times New Roman" w:hAnsi="Times New Roman"/>
                <w:szCs w:val="21"/>
                <w:u w:val="single"/>
              </w:rPr>
            </w:pPr>
            <w:r>
              <w:rPr>
                <w:rFonts w:ascii="Times New Roman" w:hAnsi="Times New Roman"/>
                <w:szCs w:val="21"/>
              </w:rPr>
              <w:t>产品名称：</w:t>
            </w:r>
            <w:r>
              <w:rPr>
                <w:rFonts w:ascii="Times New Roman" w:hAnsi="Times New Roman"/>
                <w:szCs w:val="21"/>
                <w:u w:val="single"/>
              </w:rPr>
              <w:t xml:space="preserve">      </w:t>
            </w:r>
          </w:p>
          <w:p>
            <w:pPr>
              <w:adjustRightInd w:val="0"/>
              <w:snapToGrid w:val="0"/>
              <w:spacing w:line="400" w:lineRule="exact"/>
              <w:jc w:val="left"/>
              <w:rPr>
                <w:rFonts w:ascii="Times New Roman" w:hAnsi="Times New Roman"/>
                <w:b/>
                <w:bCs/>
                <w:szCs w:val="21"/>
                <w:lang w:val="zh-CN"/>
              </w:rPr>
            </w:pPr>
            <w:r>
              <w:rPr>
                <w:rFonts w:ascii="Times New Roman" w:hAnsi="Times New Roman"/>
                <w:b/>
                <w:bCs/>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Times New Roman" w:hAnsi="Times New Roman"/>
                <w:b/>
                <w:bCs/>
                <w:szCs w:val="21"/>
                <w:u w:val="single"/>
                <w:lang w:val="zh-CN"/>
              </w:rPr>
              <w:t xml:space="preserve">         </w:t>
            </w:r>
            <w:r>
              <w:rPr>
                <w:rFonts w:ascii="Times New Roman" w:hAnsi="Times New Roman"/>
                <w:b/>
                <w:bCs/>
                <w:szCs w:val="21"/>
                <w:lang w:val="zh-CN"/>
              </w:rPr>
              <w:t>的方式确定一个参加评标的投标人，招标文件未规定的采取随机抽取方式确定，其他投标无效。</w:t>
            </w:r>
          </w:p>
          <w:p>
            <w:pPr>
              <w:adjustRightInd w:val="0"/>
              <w:snapToGrid w:val="0"/>
              <w:spacing w:line="400" w:lineRule="exact"/>
              <w:jc w:val="left"/>
              <w:rPr>
                <w:rFonts w:ascii="Times New Roman" w:hAnsi="Times New Roman"/>
                <w:szCs w:val="21"/>
                <w:u w:val="single"/>
              </w:rPr>
            </w:pPr>
            <w:r>
              <w:rPr>
                <w:rFonts w:ascii="Times New Roman" w:hAnsi="Times New Roman"/>
                <w:b/>
                <w:bCs/>
                <w:szCs w:val="21"/>
                <w:lang w:val="zh-CN"/>
              </w:rPr>
              <w:t>采用综合评分法的采购项目，多家投标人提供的核心产品品牌相同，且通过资格审查、符合性审查的，按一家投标人计算，评审后得分最高的同品牌投标人获得中标人推荐资格，（</w:t>
            </w:r>
            <w:r>
              <w:rPr>
                <w:rFonts w:ascii="Times New Roman" w:hAnsi="Times New Roman"/>
                <w:b/>
                <w:szCs w:val="21"/>
              </w:rPr>
              <w:t>评审得分相同的，由采购人或者采购人委托评标委员会按照</w:t>
            </w:r>
            <w:r>
              <w:rPr>
                <w:rFonts w:ascii="Times New Roman" w:hAnsi="Times New Roman"/>
                <w:b/>
                <w:szCs w:val="21"/>
                <w:u w:val="single"/>
              </w:rPr>
              <w:t xml:space="preserve">             </w:t>
            </w:r>
            <w:r>
              <w:rPr>
                <w:rFonts w:ascii="Times New Roman" w:hAnsi="Times New Roman"/>
                <w:b/>
                <w:szCs w:val="21"/>
              </w:rPr>
              <w:t>的方式确定一个投标人获得中标人推荐资格，招标文件未规定的采取随机抽取方式确定</w:t>
            </w:r>
            <w:r>
              <w:rPr>
                <w:rFonts w:ascii="Times New Roman" w:hAnsi="Times New Roman"/>
                <w:b/>
                <w:bCs/>
                <w:szCs w:val="21"/>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11</w:t>
            </w:r>
          </w:p>
        </w:tc>
        <w:tc>
          <w:tcPr>
            <w:tcW w:w="1863"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采购进口产品</w:t>
            </w:r>
          </w:p>
        </w:tc>
        <w:tc>
          <w:tcPr>
            <w:tcW w:w="6179" w:type="dxa"/>
            <w:gridSpan w:val="2"/>
            <w:vAlign w:val="center"/>
          </w:tcPr>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本采购项目拒绝进口产品参加投标</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本采购项目已经财政部审核同意购买进口产品</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12</w:t>
            </w:r>
          </w:p>
        </w:tc>
        <w:tc>
          <w:tcPr>
            <w:tcW w:w="1863" w:type="dxa"/>
            <w:vAlign w:val="center"/>
          </w:tcPr>
          <w:p>
            <w:pPr>
              <w:adjustRightInd w:val="0"/>
              <w:snapToGrid w:val="0"/>
              <w:spacing w:line="400" w:lineRule="exact"/>
              <w:jc w:val="center"/>
              <w:rPr>
                <w:rFonts w:ascii="Times New Roman" w:hAnsi="Times New Roman"/>
                <w:b/>
                <w:szCs w:val="21"/>
              </w:rPr>
            </w:pPr>
            <w:r>
              <w:rPr>
                <w:rFonts w:ascii="Times New Roman" w:hAnsi="Times New Roman"/>
                <w:szCs w:val="21"/>
              </w:rPr>
              <w:t>信息发布媒体</w:t>
            </w:r>
          </w:p>
        </w:tc>
        <w:tc>
          <w:tcPr>
            <w:tcW w:w="6179" w:type="dxa"/>
            <w:gridSpan w:val="2"/>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中国政府采购网（</w:t>
            </w:r>
            <w:r>
              <w:fldChar w:fldCharType="begin"/>
            </w:r>
            <w:r>
              <w:instrText xml:space="preserve"> HYPERLINK "http://www.ccgp.gov.cn" </w:instrText>
            </w:r>
            <w:r>
              <w:fldChar w:fldCharType="separate"/>
            </w:r>
            <w:r>
              <w:rPr>
                <w:rFonts w:ascii="Times New Roman" w:hAnsi="Times New Roman"/>
                <w:szCs w:val="21"/>
              </w:rPr>
              <w:t>www.ccgp.gov.cn</w:t>
            </w:r>
            <w:r>
              <w:rPr>
                <w:rFonts w:ascii="Times New Roman" w:hAnsi="Times New Roman"/>
                <w:szCs w:val="21"/>
              </w:rPr>
              <w:fldChar w:fldCharType="end"/>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13</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获取招标文件</w:t>
            </w:r>
          </w:p>
          <w:p>
            <w:pPr>
              <w:adjustRightInd w:val="0"/>
              <w:snapToGrid w:val="0"/>
              <w:spacing w:line="400" w:lineRule="exact"/>
              <w:jc w:val="center"/>
              <w:rPr>
                <w:rFonts w:ascii="Times New Roman" w:hAnsi="Times New Roman"/>
                <w:szCs w:val="21"/>
              </w:rPr>
            </w:pPr>
            <w:r>
              <w:rPr>
                <w:rFonts w:ascii="Times New Roman" w:hAnsi="Times New Roman"/>
                <w:szCs w:val="21"/>
              </w:rPr>
              <w:t>时间、地点和</w:t>
            </w:r>
          </w:p>
          <w:p>
            <w:pPr>
              <w:adjustRightInd w:val="0"/>
              <w:snapToGrid w:val="0"/>
              <w:spacing w:line="400" w:lineRule="exact"/>
              <w:jc w:val="center"/>
              <w:rPr>
                <w:rFonts w:ascii="Times New Roman" w:hAnsi="Times New Roman"/>
                <w:szCs w:val="21"/>
              </w:rPr>
            </w:pPr>
            <w:r>
              <w:rPr>
                <w:rFonts w:ascii="Times New Roman" w:hAnsi="Times New Roman"/>
                <w:szCs w:val="21"/>
              </w:rPr>
              <w:t>方式等</w:t>
            </w:r>
          </w:p>
        </w:tc>
        <w:tc>
          <w:tcPr>
            <w:tcW w:w="6179" w:type="dxa"/>
            <w:gridSpan w:val="2"/>
            <w:vAlign w:val="center"/>
          </w:tcPr>
          <w:p>
            <w:pPr>
              <w:adjustRightInd w:val="0"/>
              <w:snapToGrid w:val="0"/>
              <w:spacing w:line="400" w:lineRule="exact"/>
              <w:rPr>
                <w:rFonts w:ascii="Times New Roman" w:hAnsi="Times New Roman"/>
                <w:bCs/>
                <w:szCs w:val="21"/>
              </w:rPr>
            </w:pPr>
            <w:r>
              <w:rPr>
                <w:rFonts w:ascii="Times New Roman" w:hAnsi="Times New Roman"/>
                <w:szCs w:val="21"/>
              </w:rPr>
              <w:t>时间</w:t>
            </w:r>
            <w:r>
              <w:rPr>
                <w:rFonts w:ascii="Times New Roman" w:hAnsi="Times New Roman"/>
                <w:b/>
                <w:bCs/>
                <w:szCs w:val="21"/>
              </w:rPr>
              <w:t>：</w:t>
            </w:r>
            <w:r>
              <w:rPr>
                <w:rFonts w:hint="eastAsia" w:ascii="Times New Roman" w:hAnsi="Times New Roman"/>
                <w:szCs w:val="21"/>
                <w:u w:val="single"/>
              </w:rPr>
              <w:t>2024</w:t>
            </w:r>
            <w:r>
              <w:rPr>
                <w:rFonts w:ascii="Times New Roman" w:hAnsi="Times New Roman"/>
                <w:bCs/>
                <w:szCs w:val="21"/>
              </w:rPr>
              <w:t>年</w:t>
            </w:r>
            <w:r>
              <w:rPr>
                <w:rFonts w:hint="eastAsia" w:ascii="Times New Roman" w:hAnsi="Times New Roman"/>
                <w:szCs w:val="21"/>
                <w:u w:val="single"/>
              </w:rPr>
              <w:t xml:space="preserve"> </w:t>
            </w:r>
            <w:r>
              <w:rPr>
                <w:rFonts w:hint="eastAsia" w:ascii="Times New Roman" w:hAnsi="Times New Roman"/>
                <w:szCs w:val="21"/>
                <w:u w:val="single"/>
                <w:lang w:val="en-US" w:eastAsia="zh-CN"/>
              </w:rPr>
              <w:t>7</w:t>
            </w:r>
            <w:r>
              <w:rPr>
                <w:rFonts w:hint="eastAsia" w:ascii="Times New Roman" w:hAnsi="Times New Roman"/>
                <w:szCs w:val="21"/>
                <w:u w:val="single"/>
              </w:rPr>
              <w:t xml:space="preserve"> </w:t>
            </w:r>
            <w:r>
              <w:rPr>
                <w:rFonts w:ascii="Times New Roman" w:hAnsi="Times New Roman"/>
                <w:bCs/>
                <w:szCs w:val="21"/>
              </w:rPr>
              <w:t>月</w:t>
            </w:r>
            <w:r>
              <w:rPr>
                <w:rFonts w:hint="eastAsia" w:ascii="Times New Roman" w:hAnsi="Times New Roman"/>
                <w:szCs w:val="21"/>
                <w:u w:val="single"/>
              </w:rPr>
              <w:t xml:space="preserve"> </w:t>
            </w:r>
            <w:r>
              <w:rPr>
                <w:rFonts w:hint="eastAsia" w:ascii="Times New Roman" w:hAnsi="Times New Roman"/>
                <w:szCs w:val="21"/>
                <w:u w:val="single"/>
                <w:lang w:val="en-US" w:eastAsia="zh-CN"/>
              </w:rPr>
              <w:t>24</w:t>
            </w:r>
            <w:r>
              <w:rPr>
                <w:rFonts w:ascii="Times New Roman" w:hAnsi="Times New Roman"/>
                <w:bCs/>
                <w:szCs w:val="21"/>
              </w:rPr>
              <w:t>日至</w:t>
            </w:r>
            <w:r>
              <w:rPr>
                <w:rFonts w:hint="eastAsia" w:ascii="Times New Roman" w:hAnsi="Times New Roman"/>
                <w:szCs w:val="21"/>
                <w:u w:val="single"/>
              </w:rPr>
              <w:t>2024</w:t>
            </w:r>
            <w:r>
              <w:rPr>
                <w:rFonts w:ascii="Times New Roman" w:hAnsi="Times New Roman"/>
                <w:bCs/>
                <w:szCs w:val="21"/>
              </w:rPr>
              <w:t>年</w:t>
            </w:r>
            <w:r>
              <w:rPr>
                <w:rFonts w:hint="eastAsia" w:ascii="Times New Roman" w:hAnsi="Times New Roman"/>
                <w:szCs w:val="21"/>
                <w:u w:val="single"/>
              </w:rPr>
              <w:t xml:space="preserve"> </w:t>
            </w:r>
            <w:r>
              <w:rPr>
                <w:rFonts w:hint="eastAsia" w:ascii="Times New Roman" w:hAnsi="Times New Roman"/>
                <w:szCs w:val="21"/>
                <w:u w:val="single"/>
                <w:lang w:val="en-US" w:eastAsia="zh-CN"/>
              </w:rPr>
              <w:t>8</w:t>
            </w:r>
            <w:r>
              <w:rPr>
                <w:rFonts w:hint="eastAsia" w:ascii="Times New Roman" w:hAnsi="Times New Roman"/>
                <w:szCs w:val="21"/>
                <w:u w:val="single"/>
              </w:rPr>
              <w:t xml:space="preserve"> </w:t>
            </w:r>
            <w:r>
              <w:rPr>
                <w:rFonts w:ascii="Times New Roman" w:hAnsi="Times New Roman"/>
                <w:bCs/>
                <w:szCs w:val="21"/>
              </w:rPr>
              <w:t>月</w:t>
            </w:r>
            <w:r>
              <w:rPr>
                <w:rFonts w:hint="eastAsia" w:ascii="Times New Roman" w:hAnsi="Times New Roman"/>
                <w:szCs w:val="21"/>
                <w:u w:val="single"/>
              </w:rPr>
              <w:t xml:space="preserve"> </w:t>
            </w:r>
            <w:r>
              <w:rPr>
                <w:rFonts w:hint="eastAsia" w:ascii="Times New Roman" w:hAnsi="Times New Roman"/>
                <w:szCs w:val="21"/>
                <w:u w:val="single"/>
                <w:lang w:val="en-US" w:eastAsia="zh-CN"/>
              </w:rPr>
              <w:t>1</w:t>
            </w:r>
            <w:r>
              <w:rPr>
                <w:rFonts w:hint="eastAsia" w:ascii="Times New Roman" w:hAnsi="Times New Roman"/>
                <w:szCs w:val="21"/>
                <w:u w:val="single"/>
              </w:rPr>
              <w:t xml:space="preserve"> </w:t>
            </w:r>
            <w:r>
              <w:rPr>
                <w:rFonts w:ascii="Times New Roman" w:hAnsi="Times New Roman"/>
                <w:bCs/>
                <w:szCs w:val="21"/>
              </w:rPr>
              <w:t>日每天上午</w:t>
            </w:r>
            <w:r>
              <w:rPr>
                <w:rFonts w:hint="eastAsia" w:ascii="Times New Roman" w:hAnsi="Times New Roman"/>
                <w:szCs w:val="21"/>
                <w:u w:val="single"/>
              </w:rPr>
              <w:t>08:00</w:t>
            </w:r>
            <w:r>
              <w:rPr>
                <w:rFonts w:ascii="Times New Roman" w:hAnsi="Times New Roman"/>
                <w:bCs/>
                <w:szCs w:val="21"/>
              </w:rPr>
              <w:t>至</w:t>
            </w:r>
            <w:r>
              <w:rPr>
                <w:rFonts w:hint="eastAsia" w:ascii="Times New Roman" w:hAnsi="Times New Roman"/>
                <w:szCs w:val="21"/>
                <w:u w:val="single"/>
              </w:rPr>
              <w:t>12:00</w:t>
            </w:r>
            <w:r>
              <w:rPr>
                <w:rFonts w:ascii="Times New Roman" w:hAnsi="Times New Roman"/>
                <w:bCs/>
                <w:szCs w:val="21"/>
              </w:rPr>
              <w:t>，下午</w:t>
            </w:r>
            <w:r>
              <w:rPr>
                <w:rFonts w:hint="eastAsia" w:ascii="Times New Roman" w:hAnsi="Times New Roman"/>
                <w:szCs w:val="21"/>
                <w:u w:val="single"/>
              </w:rPr>
              <w:t>03:00</w:t>
            </w:r>
            <w:r>
              <w:rPr>
                <w:rFonts w:ascii="Times New Roman" w:hAnsi="Times New Roman"/>
                <w:bCs/>
                <w:szCs w:val="21"/>
              </w:rPr>
              <w:t>至</w:t>
            </w:r>
            <w:r>
              <w:rPr>
                <w:rFonts w:hint="eastAsia" w:ascii="Times New Roman" w:hAnsi="Times New Roman"/>
                <w:szCs w:val="21"/>
                <w:u w:val="single"/>
              </w:rPr>
              <w:t>06:00</w:t>
            </w:r>
            <w:r>
              <w:rPr>
                <w:rFonts w:ascii="Times New Roman" w:hAnsi="Times New Roman"/>
                <w:bCs/>
                <w:szCs w:val="21"/>
              </w:rPr>
              <w:t>（北京时间，法定节假日除外）</w:t>
            </w:r>
          </w:p>
          <w:p>
            <w:pPr>
              <w:adjustRightInd w:val="0"/>
              <w:snapToGrid w:val="0"/>
              <w:spacing w:line="400" w:lineRule="exact"/>
              <w:rPr>
                <w:rFonts w:ascii="Times New Roman" w:hAnsi="Times New Roman"/>
                <w:bCs/>
                <w:szCs w:val="21"/>
              </w:rPr>
            </w:pPr>
            <w:r>
              <w:rPr>
                <w:rFonts w:ascii="Times New Roman" w:hAnsi="Times New Roman"/>
                <w:b/>
                <w:szCs w:val="21"/>
              </w:rPr>
              <w:t>地点：</w:t>
            </w:r>
            <w:r>
              <w:rPr>
                <w:rFonts w:hint="eastAsia" w:ascii="宋体" w:hAnsi="宋体"/>
                <w:szCs w:val="21"/>
                <w:u w:val="single"/>
              </w:rPr>
              <w:t>福建省福州市鼓楼区五四路159号世界金龙大厦第14层A单元福建省智信招标有限公司</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b/>
                <w:szCs w:val="21"/>
              </w:rPr>
              <w:t>方式：</w:t>
            </w:r>
            <w:r>
              <w:rPr>
                <w:rFonts w:hint="eastAsia" w:ascii="宋体" w:hAnsi="宋体" w:cs="宋体"/>
                <w:szCs w:val="21"/>
                <w:u w:val="single"/>
              </w:rPr>
              <w:t>直接至我司现场获取招标文件的，须至我司填写《获取招标（采购）文件登记表》；通过电子邮件获取招标文件的，须将《获取招标（采购）文件登记表》【格式见（下载网址：http://www.fjzxzb.com/newshow.aspx?NewsID=7）】填写清楚并加盖公章后扫描发送至我公司邮箱（zhixin04@126.com)。未办理获取招标文手续的不予以书面变更通知及不受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14</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现场考察/踏勘</w:t>
            </w:r>
          </w:p>
        </w:tc>
        <w:tc>
          <w:tcPr>
            <w:tcW w:w="6179" w:type="dxa"/>
            <w:gridSpan w:val="2"/>
            <w:vAlign w:val="center"/>
          </w:tcPr>
          <w:p>
            <w:pPr>
              <w:tabs>
                <w:tab w:val="left" w:pos="0"/>
                <w:tab w:val="left" w:pos="420"/>
              </w:tabs>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不组织现场考察/踏勘</w:t>
            </w:r>
            <w:r>
              <w:rPr>
                <w:rFonts w:hint="eastAsia" w:ascii="Times New Roman" w:hAnsi="Times New Roman"/>
                <w:szCs w:val="21"/>
              </w:rPr>
              <w:t>，投标人可自行前往项目所在地</w:t>
            </w:r>
            <w:r>
              <w:rPr>
                <w:rFonts w:ascii="Times New Roman" w:hAnsi="Times New Roman"/>
                <w:szCs w:val="21"/>
              </w:rPr>
              <w:t>踏勘</w:t>
            </w:r>
            <w:r>
              <w:rPr>
                <w:rFonts w:hint="eastAsia" w:ascii="Times New Roman" w:hAnsi="Times New Roman"/>
                <w:szCs w:val="21"/>
              </w:rPr>
              <w:t>。</w:t>
            </w:r>
          </w:p>
          <w:p>
            <w:pPr>
              <w:tabs>
                <w:tab w:val="left" w:pos="0"/>
                <w:tab w:val="left" w:pos="420"/>
              </w:tabs>
              <w:adjustRightInd w:val="0"/>
              <w:snapToGrid w:val="0"/>
              <w:spacing w:line="400" w:lineRule="exact"/>
              <w:jc w:val="left"/>
              <w:rPr>
                <w:rFonts w:ascii="Times New Roman" w:hAnsi="Times New Roman"/>
                <w:bCs/>
                <w:szCs w:val="21"/>
              </w:rPr>
            </w:pPr>
            <w:r>
              <w:rPr>
                <w:rFonts w:hint="eastAsia" w:ascii="Times New Roman" w:hAnsi="Times New Roman"/>
                <w:szCs w:val="21"/>
              </w:rPr>
              <w:t>□</w:t>
            </w:r>
            <w:r>
              <w:rPr>
                <w:rFonts w:ascii="Times New Roman" w:hAnsi="Times New Roman"/>
                <w:bCs/>
                <w:szCs w:val="21"/>
              </w:rPr>
              <w:t>组织现场考察</w:t>
            </w:r>
            <w:r>
              <w:rPr>
                <w:rFonts w:ascii="Times New Roman" w:hAnsi="Times New Roman"/>
                <w:szCs w:val="21"/>
              </w:rPr>
              <w:t>/踏勘</w:t>
            </w:r>
            <w:r>
              <w:rPr>
                <w:rFonts w:ascii="Times New Roman" w:hAnsi="Times New Roman"/>
                <w:bCs/>
                <w:szCs w:val="21"/>
              </w:rPr>
              <w:t>：</w:t>
            </w:r>
          </w:p>
          <w:p>
            <w:pPr>
              <w:tabs>
                <w:tab w:val="left" w:pos="0"/>
                <w:tab w:val="left" w:pos="420"/>
              </w:tabs>
              <w:adjustRightInd w:val="0"/>
              <w:snapToGrid w:val="0"/>
              <w:spacing w:line="400" w:lineRule="exact"/>
              <w:rPr>
                <w:rFonts w:ascii="Times New Roman" w:hAnsi="Times New Roman"/>
                <w:bCs/>
                <w:szCs w:val="21"/>
              </w:rPr>
            </w:pPr>
            <w:r>
              <w:rPr>
                <w:rFonts w:ascii="Times New Roman" w:hAnsi="Times New Roman"/>
                <w:b/>
                <w:szCs w:val="21"/>
              </w:rPr>
              <w:t>时间：</w:t>
            </w:r>
            <w:r>
              <w:rPr>
                <w:rFonts w:ascii="Times New Roman" w:hAnsi="Times New Roman"/>
                <w:szCs w:val="21"/>
                <w:u w:val="single"/>
              </w:rPr>
              <w:t xml:space="preserve">   </w:t>
            </w:r>
            <w:r>
              <w:rPr>
                <w:rFonts w:ascii="Times New Roman" w:hAnsi="Times New Roman"/>
                <w:bCs/>
                <w:szCs w:val="21"/>
              </w:rPr>
              <w:t>年</w:t>
            </w:r>
            <w:r>
              <w:rPr>
                <w:rFonts w:ascii="Times New Roman" w:hAnsi="Times New Roman"/>
                <w:szCs w:val="21"/>
                <w:u w:val="single"/>
              </w:rPr>
              <w:t xml:space="preserve">   </w:t>
            </w:r>
            <w:r>
              <w:rPr>
                <w:rFonts w:ascii="Times New Roman" w:hAnsi="Times New Roman"/>
                <w:bCs/>
                <w:szCs w:val="21"/>
              </w:rPr>
              <w:t>月</w:t>
            </w:r>
            <w:r>
              <w:rPr>
                <w:rFonts w:ascii="Times New Roman" w:hAnsi="Times New Roman"/>
                <w:szCs w:val="21"/>
                <w:u w:val="single"/>
              </w:rPr>
              <w:t xml:space="preserve">   </w:t>
            </w:r>
            <w:r>
              <w:rPr>
                <w:rFonts w:ascii="Times New Roman" w:hAnsi="Times New Roman"/>
                <w:bCs/>
                <w:szCs w:val="21"/>
              </w:rPr>
              <w:t>日</w:t>
            </w:r>
            <w:r>
              <w:rPr>
                <w:rFonts w:ascii="Times New Roman" w:hAnsi="Times New Roman"/>
                <w:szCs w:val="21"/>
                <w:u w:val="single"/>
              </w:rPr>
              <w:t xml:space="preserve">   </w:t>
            </w:r>
            <w:r>
              <w:rPr>
                <w:rFonts w:ascii="Times New Roman" w:hAnsi="Times New Roman"/>
                <w:bCs/>
                <w:szCs w:val="21"/>
              </w:rPr>
              <w:t>午</w:t>
            </w:r>
            <w:r>
              <w:rPr>
                <w:rFonts w:ascii="Times New Roman" w:hAnsi="Times New Roman"/>
                <w:szCs w:val="21"/>
                <w:u w:val="single"/>
              </w:rPr>
              <w:t xml:space="preserve">   </w:t>
            </w:r>
            <w:r>
              <w:rPr>
                <w:rFonts w:ascii="Times New Roman" w:hAnsi="Times New Roman"/>
                <w:szCs w:val="21"/>
              </w:rPr>
              <w:t>（北京时间）</w:t>
            </w:r>
          </w:p>
          <w:p>
            <w:pPr>
              <w:tabs>
                <w:tab w:val="left" w:pos="0"/>
                <w:tab w:val="left" w:pos="420"/>
              </w:tabs>
              <w:adjustRightInd w:val="0"/>
              <w:snapToGrid w:val="0"/>
              <w:spacing w:line="400" w:lineRule="exact"/>
              <w:rPr>
                <w:rFonts w:ascii="Times New Roman" w:hAnsi="Times New Roman"/>
                <w:b/>
                <w:szCs w:val="21"/>
              </w:rPr>
            </w:pPr>
            <w:r>
              <w:rPr>
                <w:rFonts w:ascii="Times New Roman" w:hAnsi="Times New Roman"/>
                <w:b/>
                <w:szCs w:val="21"/>
              </w:rPr>
              <w:t>地点：</w:t>
            </w:r>
            <w:r>
              <w:rPr>
                <w:rFonts w:ascii="Times New Roman" w:hAnsi="Times New Roman"/>
                <w:b/>
                <w:szCs w:val="21"/>
                <w:u w:val="single"/>
              </w:rPr>
              <w:t xml:space="preserve">                 </w:t>
            </w:r>
          </w:p>
          <w:p>
            <w:pPr>
              <w:tabs>
                <w:tab w:val="left" w:pos="0"/>
                <w:tab w:val="left" w:pos="420"/>
              </w:tabs>
              <w:adjustRightInd w:val="0"/>
              <w:snapToGrid w:val="0"/>
              <w:spacing w:line="400" w:lineRule="exact"/>
              <w:rPr>
                <w:rFonts w:ascii="Times New Roman" w:hAnsi="Times New Roman"/>
                <w:b/>
                <w:bCs/>
                <w:szCs w:val="21"/>
              </w:rPr>
            </w:pPr>
            <w:r>
              <w:rPr>
                <w:rFonts w:ascii="Times New Roman" w:hAnsi="Times New Roman"/>
                <w:b/>
                <w:szCs w:val="21"/>
              </w:rPr>
              <w:t>联系人：</w:t>
            </w:r>
            <w:r>
              <w:rPr>
                <w:rFonts w:ascii="Times New Roman" w:hAnsi="Times New Roman"/>
                <w:b/>
                <w:szCs w:val="21"/>
                <w:u w:val="single"/>
              </w:rPr>
              <w:t xml:space="preserve">               </w:t>
            </w:r>
          </w:p>
          <w:p>
            <w:pPr>
              <w:tabs>
                <w:tab w:val="left" w:pos="0"/>
                <w:tab w:val="left" w:pos="420"/>
              </w:tabs>
              <w:adjustRightInd w:val="0"/>
              <w:snapToGrid w:val="0"/>
              <w:spacing w:line="400" w:lineRule="exact"/>
              <w:rPr>
                <w:rFonts w:ascii="Times New Roman" w:hAnsi="Times New Roman"/>
                <w:bCs/>
                <w:szCs w:val="21"/>
                <w:u w:val="single"/>
              </w:rPr>
            </w:pPr>
            <w:r>
              <w:rPr>
                <w:rFonts w:ascii="Times New Roman" w:hAnsi="Times New Roman"/>
                <w:b/>
                <w:szCs w:val="21"/>
              </w:rPr>
              <w:t>联系电话：</w:t>
            </w:r>
            <w:r>
              <w:rPr>
                <w:rFonts w:ascii="Times New Roman" w:hAnsi="Times New Roman"/>
                <w:szCs w:val="21"/>
                <w:u w:val="single"/>
              </w:rPr>
              <w:t xml:space="preserve">             </w:t>
            </w:r>
          </w:p>
          <w:p>
            <w:pPr>
              <w:tabs>
                <w:tab w:val="left" w:pos="0"/>
                <w:tab w:val="left" w:pos="420"/>
              </w:tabs>
              <w:adjustRightInd w:val="0"/>
              <w:snapToGrid w:val="0"/>
              <w:spacing w:line="400" w:lineRule="exact"/>
              <w:rPr>
                <w:rFonts w:ascii="Times New Roman" w:hAnsi="Times New Roman"/>
                <w:szCs w:val="21"/>
              </w:rPr>
            </w:pPr>
            <w:r>
              <w:rPr>
                <w:rFonts w:ascii="Times New Roman" w:hAnsi="Times New Roman"/>
                <w:b/>
                <w:szCs w:val="21"/>
              </w:rPr>
              <w:t>要求：</w:t>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15</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样品</w:t>
            </w:r>
          </w:p>
        </w:tc>
        <w:tc>
          <w:tcPr>
            <w:tcW w:w="6179" w:type="dxa"/>
            <w:gridSpan w:val="2"/>
            <w:vAlign w:val="center"/>
          </w:tcPr>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不要求提供</w:t>
            </w:r>
          </w:p>
          <w:p>
            <w:pPr>
              <w:adjustRightInd w:val="0"/>
              <w:snapToGrid w:val="0"/>
              <w:spacing w:line="400" w:lineRule="exact"/>
              <w:jc w:val="left"/>
              <w:rPr>
                <w:rFonts w:ascii="Times New Roman" w:hAnsi="Times New Roman"/>
                <w:bCs/>
                <w:szCs w:val="21"/>
              </w:rPr>
            </w:pPr>
            <w:r>
              <w:rPr>
                <w:rFonts w:hint="eastAsia" w:ascii="Times New Roman" w:hAnsi="Times New Roman"/>
                <w:szCs w:val="21"/>
              </w:rPr>
              <w:t>□</w:t>
            </w:r>
            <w:r>
              <w:rPr>
                <w:rFonts w:ascii="Times New Roman" w:hAnsi="Times New Roman"/>
                <w:bCs/>
                <w:szCs w:val="21"/>
              </w:rPr>
              <w:t>要求提供：</w:t>
            </w:r>
          </w:p>
          <w:p>
            <w:pPr>
              <w:adjustRightInd w:val="0"/>
              <w:snapToGrid w:val="0"/>
              <w:spacing w:line="400" w:lineRule="exact"/>
              <w:jc w:val="left"/>
              <w:rPr>
                <w:rFonts w:ascii="Times New Roman" w:hAnsi="Times New Roman"/>
                <w:szCs w:val="21"/>
              </w:rPr>
            </w:pPr>
            <w:r>
              <w:rPr>
                <w:rFonts w:ascii="Times New Roman" w:hAnsi="Times New Roman"/>
                <w:szCs w:val="21"/>
              </w:rPr>
              <w:t>1.样品制作的标准和要求：____________________</w:t>
            </w:r>
          </w:p>
          <w:p>
            <w:pPr>
              <w:adjustRightInd w:val="0"/>
              <w:snapToGrid w:val="0"/>
              <w:spacing w:line="400" w:lineRule="exact"/>
              <w:jc w:val="left"/>
              <w:rPr>
                <w:rFonts w:ascii="Times New Roman" w:hAnsi="Times New Roman"/>
                <w:szCs w:val="21"/>
              </w:rPr>
            </w:pPr>
            <w:r>
              <w:rPr>
                <w:rFonts w:ascii="Times New Roman" w:hAnsi="Times New Roman"/>
                <w:szCs w:val="21"/>
              </w:rPr>
              <w:t>2.样品检测报告：(□否；□是，检测机构的要求、检测内容详见第六章项目采购需求)</w:t>
            </w:r>
          </w:p>
          <w:p>
            <w:pPr>
              <w:adjustRightInd w:val="0"/>
              <w:snapToGrid w:val="0"/>
              <w:spacing w:line="400" w:lineRule="exact"/>
              <w:jc w:val="left"/>
              <w:rPr>
                <w:rFonts w:ascii="Times New Roman" w:hAnsi="Times New Roman"/>
                <w:szCs w:val="21"/>
              </w:rPr>
            </w:pPr>
            <w:r>
              <w:rPr>
                <w:rFonts w:ascii="Times New Roman" w:hAnsi="Times New Roman"/>
                <w:szCs w:val="21"/>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16</w:t>
            </w:r>
          </w:p>
        </w:tc>
        <w:tc>
          <w:tcPr>
            <w:tcW w:w="1863" w:type="dxa"/>
            <w:vMerge w:val="restart"/>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投标文件组成</w:t>
            </w:r>
          </w:p>
        </w:tc>
        <w:tc>
          <w:tcPr>
            <w:tcW w:w="972" w:type="dxa"/>
            <w:vMerge w:val="restart"/>
            <w:vAlign w:val="center"/>
          </w:tcPr>
          <w:p>
            <w:pPr>
              <w:topLinePunct/>
              <w:autoSpaceDE w:val="0"/>
              <w:autoSpaceDN w:val="0"/>
              <w:adjustRightInd w:val="0"/>
              <w:snapToGrid w:val="0"/>
              <w:spacing w:line="400" w:lineRule="exact"/>
              <w:jc w:val="center"/>
              <w:rPr>
                <w:rFonts w:ascii="Times New Roman" w:hAnsi="Times New Roman"/>
                <w:bCs/>
                <w:szCs w:val="21"/>
              </w:rPr>
            </w:pPr>
            <w:r>
              <w:rPr>
                <w:rFonts w:ascii="Times New Roman" w:hAnsi="Times New Roman"/>
                <w:szCs w:val="21"/>
              </w:rPr>
              <w:t>商务部</w:t>
            </w:r>
            <w:r>
              <w:rPr>
                <w:rFonts w:ascii="Times New Roman" w:hAnsi="Times New Roman"/>
                <w:bCs/>
                <w:szCs w:val="21"/>
              </w:rPr>
              <w:t>分</w:t>
            </w:r>
          </w:p>
        </w:tc>
        <w:tc>
          <w:tcPr>
            <w:tcW w:w="5207" w:type="dxa"/>
            <w:vAlign w:val="center"/>
          </w:tcPr>
          <w:p>
            <w:pPr>
              <w:widowControl/>
              <w:numPr>
                <w:ilvl w:val="0"/>
                <w:numId w:val="4"/>
              </w:numPr>
              <w:tabs>
                <w:tab w:val="left" w:pos="0"/>
                <w:tab w:val="left" w:pos="420"/>
              </w:tabs>
              <w:adjustRightInd w:val="0"/>
              <w:snapToGrid w:val="0"/>
              <w:spacing w:line="400" w:lineRule="exact"/>
              <w:jc w:val="left"/>
            </w:pPr>
            <w:r>
              <w:t>资格证明文件：</w:t>
            </w:r>
          </w:p>
          <w:p>
            <w:pPr>
              <w:adjustRightInd w:val="0"/>
              <w:snapToGrid w:val="0"/>
              <w:spacing w:line="400" w:lineRule="exact"/>
              <w:jc w:val="left"/>
            </w:pPr>
            <w:r>
              <w:t>1.★法人或者其他组织的营业执照等证明文件；</w:t>
            </w:r>
          </w:p>
          <w:p>
            <w:pPr>
              <w:adjustRightInd w:val="0"/>
              <w:snapToGrid w:val="0"/>
              <w:spacing w:line="400" w:lineRule="exact"/>
              <w:jc w:val="left"/>
            </w:pPr>
            <w:r>
              <w:t>2.★财务状况报告</w:t>
            </w:r>
            <w:r>
              <w:rPr>
                <w:rFonts w:hint="eastAsia"/>
              </w:rPr>
              <w:t>：提供经会计师事务所审计的2023年度的财务报告</w:t>
            </w:r>
            <w:r>
              <w:t>（须</w:t>
            </w:r>
            <w:r>
              <w:rPr>
                <w:rFonts w:hint="eastAsia"/>
              </w:rPr>
              <w:t>提供</w:t>
            </w:r>
            <w:r>
              <w:t>加盖会计师事务所公章及注册会计师签章的扫描件</w:t>
            </w:r>
            <w:r>
              <w:rPr>
                <w:rFonts w:hint="eastAsia"/>
              </w:rPr>
              <w:t>或复印件</w:t>
            </w:r>
            <w:r>
              <w:t>）；没有经审计的财务报告的，可以提供银行出具的资信证明</w:t>
            </w:r>
            <w:r>
              <w:rPr>
                <w:rFonts w:hint="eastAsia"/>
              </w:rPr>
              <w:t>（资信证明注明“复印无效”的，须提供原件）</w:t>
            </w:r>
            <w:r>
              <w:t>；</w:t>
            </w:r>
          </w:p>
          <w:p>
            <w:pPr>
              <w:adjustRightInd w:val="0"/>
              <w:snapToGrid w:val="0"/>
              <w:spacing w:line="400" w:lineRule="exact"/>
              <w:jc w:val="left"/>
            </w:pPr>
            <w:r>
              <w:t>3.★依法缴纳税收：20</w:t>
            </w:r>
            <w:r>
              <w:rPr>
                <w:rFonts w:hint="eastAsia"/>
              </w:rPr>
              <w:t>24</w:t>
            </w:r>
            <w:r>
              <w:t>年</w:t>
            </w:r>
            <w:r>
              <w:rPr>
                <w:rFonts w:hint="eastAsia"/>
              </w:rPr>
              <w:t>1</w:t>
            </w:r>
            <w:r>
              <w:t>月以来不少于</w:t>
            </w:r>
            <w:r>
              <w:rPr>
                <w:rFonts w:hint="eastAsia"/>
              </w:rPr>
              <w:t>1</w:t>
            </w:r>
            <w:r>
              <w:t>个月依法缴纳税收（不包括个人所得税）的相关材料，</w:t>
            </w:r>
            <w:r>
              <w:rPr>
                <w:rFonts w:hint="eastAsia"/>
              </w:rPr>
              <w:t>若为投标截止时间的当月成立的投标人，视同满足本项资格条件要求，</w:t>
            </w:r>
            <w:r>
              <w:t>如依法免税或不需要纳税的，则应提供相应证明材料复印件；</w:t>
            </w:r>
          </w:p>
          <w:p>
            <w:pPr>
              <w:adjustRightInd w:val="0"/>
              <w:snapToGrid w:val="0"/>
              <w:spacing w:line="400" w:lineRule="exact"/>
              <w:jc w:val="left"/>
            </w:pPr>
            <w:r>
              <w:t>4.★社会保障资金：20</w:t>
            </w:r>
            <w:r>
              <w:rPr>
                <w:rFonts w:hint="eastAsia"/>
              </w:rPr>
              <w:t>24</w:t>
            </w:r>
            <w:r>
              <w:t>年</w:t>
            </w:r>
            <w:r>
              <w:rPr>
                <w:rFonts w:hint="eastAsia"/>
              </w:rPr>
              <w:t>1</w:t>
            </w:r>
            <w:r>
              <w:t>月以来不少于</w:t>
            </w:r>
            <w:r>
              <w:rPr>
                <w:rFonts w:hint="eastAsia"/>
              </w:rPr>
              <w:t>1</w:t>
            </w:r>
            <w:r>
              <w:t>个月的依法缴纳社会保障资金的相关材料，</w:t>
            </w:r>
            <w:r>
              <w:rPr>
                <w:rFonts w:hint="eastAsia"/>
              </w:rPr>
              <w:t>若为投标截止时间的当月成立的投标人，视同满足本项资格条件要求，</w:t>
            </w:r>
            <w:r>
              <w:t>如依法不需要缴纳社会保障资金的，则应提供相应证明材料复印件；</w:t>
            </w:r>
          </w:p>
          <w:p>
            <w:pPr>
              <w:adjustRightInd w:val="0"/>
              <w:snapToGrid w:val="0"/>
              <w:spacing w:line="400" w:lineRule="exact"/>
              <w:jc w:val="left"/>
            </w:pPr>
            <w:r>
              <w:t>5.★具备履行合同所必需的设备和专业技术能力的</w:t>
            </w:r>
            <w:r>
              <w:rPr>
                <w:rFonts w:hint="eastAsia"/>
              </w:rPr>
              <w:t>书面声明</w:t>
            </w:r>
            <w:r>
              <w:t>；</w:t>
            </w:r>
          </w:p>
          <w:p>
            <w:pPr>
              <w:adjustRightInd w:val="0"/>
              <w:snapToGrid w:val="0"/>
              <w:spacing w:line="400" w:lineRule="exact"/>
              <w:jc w:val="left"/>
            </w:pPr>
            <w:r>
              <w:t>6.★</w:t>
            </w:r>
            <w:r>
              <w:rPr>
                <w:rFonts w:hint="eastAsia"/>
              </w:rPr>
              <w:t>参加政府采购活动前3年内在经营活动中没有重大违法记录的书面声明</w:t>
            </w:r>
            <w:r>
              <w:t>；</w:t>
            </w:r>
          </w:p>
          <w:p>
            <w:pPr>
              <w:adjustRightInd w:val="0"/>
              <w:snapToGrid w:val="0"/>
              <w:spacing w:line="400" w:lineRule="exact"/>
              <w:jc w:val="left"/>
            </w:pPr>
            <w:r>
              <w:t>7.★</w:t>
            </w:r>
            <w:r>
              <w:rPr>
                <w:rFonts w:hint="eastAsia"/>
              </w:rPr>
              <w:t>被列入失信被执行人、重大税收违法案件当事人名单、政府采购严重违法失信行为记录名单及其他不符合《中华人民共和国政府采购法》第二十二条规定条件的投标人，不得参加本次投标。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400" w:lineRule="exact"/>
              <w:jc w:val="center"/>
              <w:rPr>
                <w:rFonts w:ascii="Times New Roman" w:hAnsi="Times New Roman"/>
                <w:b/>
                <w:szCs w:val="21"/>
              </w:rPr>
            </w:pPr>
          </w:p>
        </w:tc>
        <w:tc>
          <w:tcPr>
            <w:tcW w:w="1863" w:type="dxa"/>
            <w:vMerge w:val="continue"/>
            <w:vAlign w:val="center"/>
          </w:tcPr>
          <w:p>
            <w:pPr>
              <w:topLinePunct/>
              <w:autoSpaceDE w:val="0"/>
              <w:autoSpaceDN w:val="0"/>
              <w:adjustRightInd w:val="0"/>
              <w:snapToGrid w:val="0"/>
              <w:spacing w:line="400" w:lineRule="exact"/>
              <w:jc w:val="center"/>
              <w:rPr>
                <w:rFonts w:ascii="Times New Roman" w:hAnsi="Times New Roman"/>
                <w:b/>
                <w:szCs w:val="21"/>
              </w:rPr>
            </w:pPr>
          </w:p>
        </w:tc>
        <w:tc>
          <w:tcPr>
            <w:tcW w:w="972" w:type="dxa"/>
            <w:vMerge w:val="continue"/>
            <w:vAlign w:val="center"/>
          </w:tcPr>
          <w:p>
            <w:pPr>
              <w:topLinePunct/>
              <w:autoSpaceDE w:val="0"/>
              <w:autoSpaceDN w:val="0"/>
              <w:adjustRightInd w:val="0"/>
              <w:snapToGrid w:val="0"/>
              <w:spacing w:line="400" w:lineRule="exact"/>
              <w:rPr>
                <w:rFonts w:ascii="Times New Roman" w:hAnsi="Times New Roman"/>
                <w:b/>
                <w:bCs/>
                <w:szCs w:val="21"/>
              </w:rPr>
            </w:pPr>
          </w:p>
        </w:tc>
        <w:tc>
          <w:tcPr>
            <w:tcW w:w="5207" w:type="dxa"/>
            <w:vAlign w:val="center"/>
          </w:tcPr>
          <w:p>
            <w:pPr>
              <w:adjustRightInd w:val="0"/>
              <w:snapToGrid w:val="0"/>
              <w:spacing w:line="400" w:lineRule="exact"/>
              <w:jc w:val="left"/>
              <w:rPr>
                <w:rFonts w:ascii="Times New Roman" w:hAnsi="Times New Roman"/>
                <w:b/>
                <w:bCs/>
                <w:szCs w:val="21"/>
              </w:rPr>
            </w:pPr>
            <w:r>
              <w:rPr>
                <w:rFonts w:ascii="Times New Roman" w:hAnsi="Times New Roman"/>
                <w:b/>
                <w:bCs/>
                <w:szCs w:val="21"/>
              </w:rPr>
              <w:t>二、</w:t>
            </w:r>
            <w:r>
              <w:rPr>
                <w:rFonts w:ascii="Times New Roman" w:hAnsi="Times New Roman"/>
                <w:b/>
                <w:szCs w:val="21"/>
              </w:rPr>
              <w:t>开标一览表</w:t>
            </w:r>
            <w:r>
              <w:rPr>
                <w:rFonts w:ascii="Times New Roman" w:hAnsi="Times New Roman"/>
                <w:b/>
                <w:bCs/>
                <w:szCs w:val="21"/>
              </w:rPr>
              <w:t>：</w:t>
            </w:r>
          </w:p>
          <w:p>
            <w:pPr>
              <w:adjustRightInd w:val="0"/>
              <w:snapToGrid w:val="0"/>
              <w:spacing w:line="400" w:lineRule="exact"/>
              <w:jc w:val="left"/>
              <w:rPr>
                <w:rFonts w:ascii="Times New Roman" w:hAnsi="Times New Roman"/>
                <w:szCs w:val="21"/>
              </w:rPr>
            </w:pPr>
            <w:r>
              <w:rPr>
                <w:rFonts w:ascii="Times New Roman" w:hAnsi="Times New Roman"/>
                <w:szCs w:val="21"/>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400" w:lineRule="exact"/>
              <w:jc w:val="center"/>
              <w:rPr>
                <w:rFonts w:ascii="Times New Roman" w:hAnsi="Times New Roman"/>
                <w:b/>
                <w:szCs w:val="21"/>
              </w:rPr>
            </w:pPr>
          </w:p>
        </w:tc>
        <w:tc>
          <w:tcPr>
            <w:tcW w:w="1863" w:type="dxa"/>
            <w:vMerge w:val="continue"/>
            <w:vAlign w:val="center"/>
          </w:tcPr>
          <w:p>
            <w:pPr>
              <w:topLinePunct/>
              <w:autoSpaceDE w:val="0"/>
              <w:autoSpaceDN w:val="0"/>
              <w:adjustRightInd w:val="0"/>
              <w:snapToGrid w:val="0"/>
              <w:spacing w:line="400" w:lineRule="exact"/>
              <w:jc w:val="center"/>
              <w:rPr>
                <w:rFonts w:ascii="Times New Roman" w:hAnsi="Times New Roman"/>
                <w:b/>
                <w:szCs w:val="21"/>
              </w:rPr>
            </w:pPr>
          </w:p>
        </w:tc>
        <w:tc>
          <w:tcPr>
            <w:tcW w:w="972" w:type="dxa"/>
            <w:vMerge w:val="continue"/>
            <w:vAlign w:val="center"/>
          </w:tcPr>
          <w:p>
            <w:pPr>
              <w:topLinePunct/>
              <w:autoSpaceDE w:val="0"/>
              <w:autoSpaceDN w:val="0"/>
              <w:adjustRightInd w:val="0"/>
              <w:snapToGrid w:val="0"/>
              <w:spacing w:line="400" w:lineRule="exact"/>
              <w:rPr>
                <w:rFonts w:ascii="Times New Roman" w:hAnsi="Times New Roman"/>
                <w:b/>
                <w:bCs/>
                <w:szCs w:val="21"/>
              </w:rPr>
            </w:pPr>
          </w:p>
        </w:tc>
        <w:tc>
          <w:tcPr>
            <w:tcW w:w="5207" w:type="dxa"/>
            <w:vAlign w:val="center"/>
          </w:tcPr>
          <w:p>
            <w:pPr>
              <w:widowControl/>
              <w:shd w:val="clear" w:color="auto" w:fill="FFFFFF"/>
              <w:tabs>
                <w:tab w:val="left" w:pos="475"/>
                <w:tab w:val="left" w:pos="617"/>
              </w:tabs>
              <w:adjustRightInd w:val="0"/>
              <w:snapToGrid w:val="0"/>
              <w:spacing w:line="400" w:lineRule="exact"/>
              <w:jc w:val="left"/>
              <w:rPr>
                <w:rFonts w:ascii="Times New Roman" w:hAnsi="Times New Roman"/>
                <w:szCs w:val="21"/>
              </w:rPr>
            </w:pPr>
            <w:r>
              <w:rPr>
                <w:rFonts w:ascii="Times New Roman" w:hAnsi="Times New Roman"/>
                <w:b/>
                <w:bCs/>
                <w:szCs w:val="21"/>
              </w:rPr>
              <w:t>三、其他文件及资料：</w:t>
            </w:r>
          </w:p>
          <w:p>
            <w:pPr>
              <w:adjustRightInd w:val="0"/>
              <w:snapToGrid w:val="0"/>
              <w:spacing w:line="400" w:lineRule="exact"/>
              <w:jc w:val="left"/>
              <w:rPr>
                <w:rFonts w:ascii="Times New Roman" w:hAnsi="Times New Roman"/>
                <w:szCs w:val="21"/>
              </w:rPr>
            </w:pPr>
            <w:r>
              <w:rPr>
                <w:rFonts w:ascii="Times New Roman" w:hAnsi="Times New Roman"/>
                <w:szCs w:val="21"/>
              </w:rPr>
              <w:t>1.★授权委托书（</w:t>
            </w:r>
            <w:r>
              <w:rPr>
                <w:rFonts w:ascii="Times New Roman" w:hAnsi="Times New Roman"/>
                <w:i/>
                <w:szCs w:val="21"/>
              </w:rPr>
              <w:t>参考投标文件格式1</w:t>
            </w:r>
            <w:r>
              <w:rPr>
                <w:rFonts w:ascii="Times New Roman" w:hAnsi="Times New Roman"/>
                <w:szCs w:val="21"/>
              </w:rPr>
              <w:t>）；</w:t>
            </w:r>
          </w:p>
          <w:p>
            <w:pPr>
              <w:adjustRightInd w:val="0"/>
              <w:snapToGrid w:val="0"/>
              <w:spacing w:line="400" w:lineRule="exact"/>
              <w:jc w:val="left"/>
              <w:rPr>
                <w:rFonts w:ascii="Times New Roman" w:hAnsi="Times New Roman"/>
                <w:szCs w:val="21"/>
              </w:rPr>
            </w:pPr>
            <w:r>
              <w:rPr>
                <w:rFonts w:ascii="Times New Roman" w:hAnsi="Times New Roman"/>
                <w:szCs w:val="21"/>
              </w:rPr>
              <w:t>2.★投标函（</w:t>
            </w:r>
            <w:r>
              <w:rPr>
                <w:rFonts w:ascii="Times New Roman" w:hAnsi="Times New Roman"/>
                <w:i/>
                <w:szCs w:val="21"/>
              </w:rPr>
              <w:t>参考投标文件格式2</w:t>
            </w:r>
            <w:r>
              <w:rPr>
                <w:rFonts w:ascii="Times New Roman" w:hAnsi="Times New Roman"/>
                <w:szCs w:val="21"/>
              </w:rPr>
              <w:t>）；</w:t>
            </w:r>
          </w:p>
          <w:p>
            <w:pPr>
              <w:adjustRightInd w:val="0"/>
              <w:snapToGrid w:val="0"/>
              <w:spacing w:line="400" w:lineRule="exact"/>
              <w:jc w:val="left"/>
              <w:rPr>
                <w:rFonts w:ascii="Times New Roman" w:hAnsi="Times New Roman"/>
                <w:szCs w:val="21"/>
              </w:rPr>
            </w:pPr>
            <w:r>
              <w:rPr>
                <w:rFonts w:ascii="Times New Roman" w:hAnsi="Times New Roman"/>
                <w:szCs w:val="21"/>
              </w:rPr>
              <w:t>3.商务条款偏离表；</w:t>
            </w:r>
          </w:p>
          <w:p>
            <w:pPr>
              <w:adjustRightInd w:val="0"/>
              <w:snapToGrid w:val="0"/>
              <w:spacing w:line="400" w:lineRule="exact"/>
              <w:jc w:val="left"/>
              <w:rPr>
                <w:rFonts w:ascii="Times New Roman" w:hAnsi="Times New Roman"/>
                <w:szCs w:val="21"/>
              </w:rPr>
            </w:pPr>
            <w:r>
              <w:rPr>
                <w:rFonts w:ascii="Times New Roman" w:hAnsi="Times New Roman"/>
                <w:szCs w:val="21"/>
              </w:rPr>
              <w:t>4.中小企业声明函（中小企业投标的，应按照《政府采购促进中小企业发展管理办法》（财库﹝2020﹞46 号印发）《关于印发中小企业划型标准规定的通知》 （工信部联企业〔2011〕300号）如实填写并提交此函）；</w:t>
            </w:r>
          </w:p>
          <w:p>
            <w:pPr>
              <w:adjustRightInd w:val="0"/>
              <w:snapToGrid w:val="0"/>
              <w:spacing w:line="400" w:lineRule="exact"/>
              <w:jc w:val="left"/>
              <w:rPr>
                <w:rFonts w:ascii="Times New Roman" w:hAnsi="Times New Roman"/>
                <w:szCs w:val="21"/>
              </w:rPr>
            </w:pPr>
            <w:r>
              <w:rPr>
                <w:rFonts w:ascii="Times New Roman" w:hAnsi="Times New Roman"/>
                <w:szCs w:val="21"/>
              </w:rPr>
              <w:t>5.监狱企业证明文件[监狱企业投标的，应提交省级以上监狱管理局、戒毒管理局（含新疆生产建设兵团）出具的证明文件]；</w:t>
            </w:r>
          </w:p>
          <w:p>
            <w:pPr>
              <w:adjustRightInd w:val="0"/>
              <w:snapToGrid w:val="0"/>
              <w:spacing w:line="400" w:lineRule="exact"/>
              <w:jc w:val="left"/>
              <w:rPr>
                <w:rFonts w:ascii="Times New Roman" w:hAnsi="Times New Roman"/>
                <w:szCs w:val="21"/>
              </w:rPr>
            </w:pPr>
            <w:r>
              <w:rPr>
                <w:rFonts w:ascii="Times New Roman" w:hAnsi="Times New Roman"/>
                <w:szCs w:val="21"/>
              </w:rPr>
              <w:t>6.残疾人福利性单位声明函（残疾人福利性单位投标的，应提交此函）；</w:t>
            </w:r>
          </w:p>
          <w:p>
            <w:pPr>
              <w:adjustRightInd w:val="0"/>
              <w:snapToGrid w:val="0"/>
              <w:spacing w:line="400" w:lineRule="exact"/>
              <w:jc w:val="left"/>
              <w:rPr>
                <w:rFonts w:ascii="Times New Roman" w:hAnsi="Times New Roman"/>
                <w:bCs/>
                <w:szCs w:val="21"/>
              </w:rPr>
            </w:pPr>
            <w:r>
              <w:rPr>
                <w:rFonts w:ascii="Times New Roman" w:hAnsi="Times New Roman"/>
                <w:szCs w:val="21"/>
              </w:rPr>
              <w:t>7.投标人认为需要提供的其它说明和资料</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400" w:lineRule="exact"/>
              <w:jc w:val="center"/>
              <w:rPr>
                <w:rFonts w:ascii="Times New Roman" w:hAnsi="Times New Roman"/>
                <w:szCs w:val="21"/>
              </w:rPr>
            </w:pPr>
          </w:p>
        </w:tc>
        <w:tc>
          <w:tcPr>
            <w:tcW w:w="1863" w:type="dxa"/>
            <w:vMerge w:val="continue"/>
            <w:vAlign w:val="center"/>
          </w:tcPr>
          <w:p>
            <w:pPr>
              <w:topLinePunct/>
              <w:autoSpaceDE w:val="0"/>
              <w:autoSpaceDN w:val="0"/>
              <w:adjustRightInd w:val="0"/>
              <w:snapToGrid w:val="0"/>
              <w:spacing w:line="400" w:lineRule="exact"/>
              <w:jc w:val="center"/>
              <w:rPr>
                <w:rFonts w:ascii="Times New Roman" w:hAnsi="Times New Roman"/>
                <w:szCs w:val="21"/>
              </w:rPr>
            </w:pPr>
          </w:p>
        </w:tc>
        <w:tc>
          <w:tcPr>
            <w:tcW w:w="972" w:type="dxa"/>
            <w:vAlign w:val="center"/>
          </w:tcPr>
          <w:p>
            <w:pPr>
              <w:topLinePunct/>
              <w:autoSpaceDE w:val="0"/>
              <w:autoSpaceDN w:val="0"/>
              <w:adjustRightInd w:val="0"/>
              <w:snapToGrid w:val="0"/>
              <w:spacing w:line="400" w:lineRule="exact"/>
              <w:jc w:val="center"/>
              <w:rPr>
                <w:rFonts w:ascii="Times New Roman" w:hAnsi="Times New Roman"/>
                <w:bCs/>
                <w:szCs w:val="21"/>
              </w:rPr>
            </w:pPr>
            <w:r>
              <w:rPr>
                <w:rFonts w:ascii="Times New Roman" w:hAnsi="Times New Roman"/>
                <w:szCs w:val="21"/>
              </w:rPr>
              <w:t>技术部分</w:t>
            </w:r>
          </w:p>
        </w:tc>
        <w:tc>
          <w:tcPr>
            <w:tcW w:w="5207" w:type="dxa"/>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1.技术条款偏离表；</w:t>
            </w:r>
          </w:p>
          <w:p>
            <w:pPr>
              <w:adjustRightInd w:val="0"/>
              <w:snapToGrid w:val="0"/>
              <w:spacing w:line="400" w:lineRule="exact"/>
              <w:jc w:val="left"/>
              <w:rPr>
                <w:rFonts w:ascii="Times New Roman" w:hAnsi="Times New Roman"/>
                <w:szCs w:val="21"/>
              </w:rPr>
            </w:pPr>
            <w:r>
              <w:rPr>
                <w:rFonts w:hint="eastAsia" w:ascii="Times New Roman" w:hAnsi="Times New Roman"/>
                <w:szCs w:val="21"/>
              </w:rPr>
              <w:t>2.服务方案、实施方案及技术方案；</w:t>
            </w:r>
          </w:p>
          <w:p>
            <w:pPr>
              <w:adjustRightInd w:val="0"/>
              <w:snapToGrid w:val="0"/>
              <w:spacing w:line="400" w:lineRule="exact"/>
              <w:jc w:val="left"/>
              <w:rPr>
                <w:rFonts w:ascii="Times New Roman" w:hAnsi="Times New Roman"/>
                <w:szCs w:val="21"/>
              </w:rPr>
            </w:pPr>
            <w:r>
              <w:rPr>
                <w:rFonts w:hint="eastAsia" w:ascii="Times New Roman" w:hAnsi="Times New Roman"/>
                <w:szCs w:val="21"/>
              </w:rPr>
              <w:t>3.投标人认为需要提供的其它说明和资料。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400" w:lineRule="exact"/>
              <w:jc w:val="center"/>
              <w:rPr>
                <w:rFonts w:ascii="Times New Roman" w:hAnsi="Times New Roman"/>
                <w:b/>
                <w:szCs w:val="21"/>
              </w:rPr>
            </w:pPr>
          </w:p>
        </w:tc>
        <w:tc>
          <w:tcPr>
            <w:tcW w:w="1863" w:type="dxa"/>
            <w:vMerge w:val="continue"/>
            <w:vAlign w:val="center"/>
          </w:tcPr>
          <w:p>
            <w:pPr>
              <w:topLinePunct/>
              <w:autoSpaceDE w:val="0"/>
              <w:autoSpaceDN w:val="0"/>
              <w:adjustRightInd w:val="0"/>
              <w:snapToGrid w:val="0"/>
              <w:spacing w:line="400" w:lineRule="exact"/>
              <w:jc w:val="center"/>
              <w:rPr>
                <w:rFonts w:ascii="Times New Roman" w:hAnsi="Times New Roman"/>
                <w:b/>
                <w:szCs w:val="21"/>
              </w:rPr>
            </w:pPr>
          </w:p>
        </w:tc>
        <w:tc>
          <w:tcPr>
            <w:tcW w:w="6179" w:type="dxa"/>
            <w:gridSpan w:val="2"/>
            <w:vAlign w:val="center"/>
          </w:tcPr>
          <w:p>
            <w:pPr>
              <w:adjustRightInd w:val="0"/>
              <w:snapToGrid w:val="0"/>
              <w:spacing w:line="400" w:lineRule="exact"/>
              <w:jc w:val="left"/>
              <w:rPr>
                <w:rFonts w:ascii="Times New Roman" w:hAnsi="Times New Roman"/>
                <w:szCs w:val="21"/>
              </w:rPr>
            </w:pPr>
            <w:r>
              <w:rPr>
                <w:rFonts w:ascii="Times New Roman" w:hAnsi="Times New Roman"/>
                <w:b/>
                <w:szCs w:val="21"/>
              </w:rPr>
              <w:t>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17</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投标有效期</w:t>
            </w:r>
          </w:p>
        </w:tc>
        <w:tc>
          <w:tcPr>
            <w:tcW w:w="6179" w:type="dxa"/>
            <w:gridSpan w:val="2"/>
            <w:vAlign w:val="center"/>
          </w:tcPr>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从提交投标文件的截止之日起计算</w:t>
            </w:r>
            <w:r>
              <w:rPr>
                <w:rFonts w:hint="eastAsia" w:ascii="Times New Roman" w:hAnsi="Times New Roman"/>
                <w:szCs w:val="21"/>
                <w:u w:val="single"/>
              </w:rPr>
              <w:t>90</w:t>
            </w:r>
            <w:r>
              <w:rPr>
                <w:rFonts w:ascii="Times New Roman" w:hAnsi="Times New Roman"/>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18</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提交投标文件方式、截止时间、开标时间、地点</w:t>
            </w:r>
          </w:p>
        </w:tc>
        <w:tc>
          <w:tcPr>
            <w:tcW w:w="6179" w:type="dxa"/>
            <w:gridSpan w:val="2"/>
            <w:vAlign w:val="center"/>
          </w:tcPr>
          <w:p>
            <w:pPr>
              <w:topLinePunct/>
              <w:autoSpaceDE w:val="0"/>
              <w:autoSpaceDN w:val="0"/>
              <w:adjustRightInd w:val="0"/>
              <w:snapToGrid w:val="0"/>
              <w:spacing w:line="400" w:lineRule="exact"/>
              <w:rPr>
                <w:rFonts w:ascii="Times New Roman" w:hAnsi="Times New Roman"/>
                <w:szCs w:val="21"/>
              </w:rPr>
            </w:pPr>
            <w:r>
              <w:rPr>
                <w:rFonts w:ascii="Times New Roman" w:hAnsi="Times New Roman"/>
                <w:b/>
                <w:szCs w:val="21"/>
              </w:rPr>
              <w:t>提交方式：</w:t>
            </w:r>
            <w:r>
              <w:rPr>
                <w:rFonts w:ascii="Times New Roman" w:hAnsi="Times New Roman"/>
                <w:szCs w:val="21"/>
                <w:u w:val="single"/>
              </w:rPr>
              <w:t>纸质文件提交</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b/>
                <w:szCs w:val="21"/>
              </w:rPr>
              <w:t>投标截止时间和开标时间：</w:t>
            </w:r>
            <w:r>
              <w:rPr>
                <w:rFonts w:hint="eastAsia" w:ascii="Times New Roman" w:hAnsi="Times New Roman"/>
                <w:szCs w:val="21"/>
                <w:u w:val="single"/>
              </w:rPr>
              <w:t>2024</w:t>
            </w:r>
            <w:r>
              <w:rPr>
                <w:rFonts w:ascii="Times New Roman" w:hAnsi="Times New Roman"/>
                <w:bCs/>
                <w:szCs w:val="21"/>
              </w:rPr>
              <w:t>年</w:t>
            </w:r>
            <w:r>
              <w:rPr>
                <w:rFonts w:hint="eastAsia" w:ascii="Times New Roman" w:hAnsi="Times New Roman"/>
                <w:szCs w:val="21"/>
                <w:u w:val="single"/>
              </w:rPr>
              <w:t xml:space="preserve"> </w:t>
            </w:r>
            <w:r>
              <w:rPr>
                <w:rFonts w:hint="eastAsia" w:ascii="Times New Roman" w:hAnsi="Times New Roman"/>
                <w:szCs w:val="21"/>
                <w:u w:val="single"/>
                <w:lang w:val="en-US" w:eastAsia="zh-CN"/>
              </w:rPr>
              <w:t>8</w:t>
            </w:r>
            <w:r>
              <w:rPr>
                <w:rFonts w:hint="eastAsia" w:ascii="Times New Roman" w:hAnsi="Times New Roman"/>
                <w:szCs w:val="21"/>
                <w:u w:val="single"/>
              </w:rPr>
              <w:t xml:space="preserve"> </w:t>
            </w:r>
            <w:r>
              <w:rPr>
                <w:rFonts w:ascii="Times New Roman" w:hAnsi="Times New Roman"/>
                <w:bCs/>
                <w:szCs w:val="21"/>
              </w:rPr>
              <w:t>月</w:t>
            </w:r>
            <w:r>
              <w:rPr>
                <w:rFonts w:hint="eastAsia" w:ascii="Times New Roman" w:hAnsi="Times New Roman"/>
                <w:szCs w:val="21"/>
                <w:u w:val="single"/>
              </w:rPr>
              <w:t xml:space="preserve"> </w:t>
            </w:r>
            <w:r>
              <w:rPr>
                <w:rFonts w:hint="eastAsia" w:ascii="Times New Roman" w:hAnsi="Times New Roman"/>
                <w:szCs w:val="21"/>
                <w:u w:val="single"/>
                <w:lang w:val="en-US" w:eastAsia="zh-CN"/>
              </w:rPr>
              <w:t>15</w:t>
            </w:r>
            <w:r>
              <w:rPr>
                <w:rFonts w:hint="eastAsia" w:ascii="Times New Roman" w:hAnsi="Times New Roman"/>
                <w:szCs w:val="21"/>
                <w:u w:val="single"/>
              </w:rPr>
              <w:t xml:space="preserve"> </w:t>
            </w:r>
            <w:r>
              <w:rPr>
                <w:rFonts w:ascii="Times New Roman" w:hAnsi="Times New Roman"/>
                <w:bCs/>
                <w:szCs w:val="21"/>
              </w:rPr>
              <w:t>日</w:t>
            </w:r>
            <w:r>
              <w:rPr>
                <w:rFonts w:hint="eastAsia" w:ascii="Times New Roman" w:hAnsi="Times New Roman"/>
                <w:szCs w:val="21"/>
                <w:u w:val="single"/>
              </w:rPr>
              <w:t>上</w:t>
            </w:r>
            <w:r>
              <w:rPr>
                <w:rFonts w:ascii="Times New Roman" w:hAnsi="Times New Roman"/>
                <w:bCs/>
                <w:szCs w:val="21"/>
              </w:rPr>
              <w:t>午</w:t>
            </w:r>
            <w:r>
              <w:rPr>
                <w:rFonts w:hint="eastAsia" w:ascii="Times New Roman" w:hAnsi="Times New Roman"/>
                <w:szCs w:val="21"/>
                <w:u w:val="single"/>
                <w:lang w:val="en-US" w:eastAsia="zh-CN"/>
              </w:rPr>
              <w:t>8：30</w:t>
            </w:r>
            <w:r>
              <w:rPr>
                <w:rFonts w:ascii="Times New Roman" w:hAnsi="Times New Roman"/>
                <w:szCs w:val="21"/>
              </w:rPr>
              <w:t>（北京时间）</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b/>
                <w:szCs w:val="21"/>
              </w:rPr>
              <w:t>开标方式：</w:t>
            </w:r>
            <w:r>
              <w:rPr>
                <w:rFonts w:ascii="Times New Roman" w:hAnsi="Times New Roman"/>
                <w:szCs w:val="21"/>
                <w:u w:val="single"/>
              </w:rPr>
              <w:t>线下开标</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b/>
                <w:szCs w:val="21"/>
              </w:rPr>
              <w:t>提交投标文件地点：</w:t>
            </w:r>
            <w:r>
              <w:rPr>
                <w:rFonts w:ascii="Times New Roman" w:hAnsi="Times New Roman"/>
                <w:bCs/>
                <w:szCs w:val="21"/>
                <w:u w:val="single"/>
              </w:rPr>
              <w:t>福建省福州</w:t>
            </w:r>
            <w:r>
              <w:rPr>
                <w:rFonts w:hint="eastAsia" w:ascii="宋体" w:hAnsi="宋体" w:cs="宋体"/>
                <w:bCs/>
                <w:szCs w:val="21"/>
                <w:u w:val="single"/>
              </w:rPr>
              <w:t>市鼓楼区五四路159号世界金龙大厦第14层A单元福建省智信招标有</w:t>
            </w:r>
            <w:r>
              <w:rPr>
                <w:rFonts w:ascii="Times New Roman" w:hAnsi="Times New Roman"/>
                <w:bCs/>
                <w:szCs w:val="21"/>
                <w:u w:val="single"/>
              </w:rPr>
              <w:t>限公司</w:t>
            </w:r>
            <w:r>
              <w:rPr>
                <w:rFonts w:hint="eastAsia" w:ascii="Times New Roman" w:hAnsi="Times New Roman"/>
                <w:bCs/>
                <w:szCs w:val="21"/>
                <w:u w:val="single"/>
              </w:rPr>
              <w:t>开标大厅</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b/>
                <w:szCs w:val="21"/>
              </w:rPr>
              <w:t>开标地点：</w:t>
            </w:r>
            <w:r>
              <w:rPr>
                <w:rFonts w:ascii="Times New Roman" w:hAnsi="Times New Roman"/>
                <w:bCs/>
                <w:szCs w:val="21"/>
                <w:u w:val="single"/>
              </w:rPr>
              <w:t>福建省福州市鼓楼区五</w:t>
            </w:r>
            <w:r>
              <w:rPr>
                <w:rFonts w:hint="eastAsia" w:ascii="宋体" w:hAnsi="宋体" w:cs="宋体"/>
                <w:bCs/>
                <w:szCs w:val="21"/>
                <w:u w:val="single"/>
              </w:rPr>
              <w:t>四路159号世界金龙大厦第14层A单元福建省智信招标有限公司开标</w:t>
            </w:r>
            <w:r>
              <w:rPr>
                <w:rFonts w:hint="eastAsia" w:ascii="Times New Roman" w:hAnsi="Times New Roman"/>
                <w:bCs/>
                <w:szCs w:val="21"/>
                <w:u w:val="single"/>
              </w:rPr>
              <w:t>大厅</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b/>
                <w:szCs w:val="21"/>
              </w:rPr>
              <w:t>联系电话：</w:t>
            </w:r>
            <w:r>
              <w:rPr>
                <w:rFonts w:ascii="Times New Roman" w:hAnsi="Times New Roman"/>
                <w:bCs/>
                <w:szCs w:val="21"/>
                <w:u w:val="single"/>
              </w:rPr>
              <w:t>0591-88318332、87530730、87616211转</w:t>
            </w:r>
            <w:r>
              <w:rPr>
                <w:rFonts w:hint="eastAsia" w:ascii="Times New Roman" w:hAnsi="Times New Roman"/>
                <w:bCs/>
                <w:szCs w:val="21"/>
                <w:u w:val="single"/>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19</w:t>
            </w:r>
          </w:p>
        </w:tc>
        <w:tc>
          <w:tcPr>
            <w:tcW w:w="1863" w:type="dxa"/>
            <w:vAlign w:val="center"/>
          </w:tcPr>
          <w:p>
            <w:pPr>
              <w:tabs>
                <w:tab w:val="left" w:pos="1875"/>
              </w:tabs>
              <w:adjustRightInd w:val="0"/>
              <w:snapToGrid w:val="0"/>
              <w:spacing w:line="400" w:lineRule="exact"/>
              <w:jc w:val="center"/>
              <w:rPr>
                <w:rFonts w:ascii="Times New Roman" w:hAnsi="Times New Roman"/>
                <w:b/>
                <w:szCs w:val="21"/>
              </w:rPr>
            </w:pPr>
            <w:r>
              <w:rPr>
                <w:rFonts w:ascii="Times New Roman" w:hAnsi="Times New Roman"/>
                <w:szCs w:val="21"/>
              </w:rPr>
              <w:t>投标保证金</w:t>
            </w:r>
          </w:p>
        </w:tc>
        <w:tc>
          <w:tcPr>
            <w:tcW w:w="6179" w:type="dxa"/>
            <w:gridSpan w:val="2"/>
            <w:vAlign w:val="center"/>
          </w:tcPr>
          <w:p>
            <w:pPr>
              <w:topLinePunct/>
              <w:autoSpaceDE w:val="0"/>
              <w:autoSpaceDN w:val="0"/>
              <w:adjustRightInd w:val="0"/>
              <w:snapToGrid w:val="0"/>
              <w:spacing w:line="400" w:lineRule="exact"/>
              <w:rPr>
                <w:rFonts w:ascii="Times New Roman" w:hAnsi="Times New Roman"/>
                <w:snapToGrid w:val="0"/>
                <w:szCs w:val="21"/>
              </w:rPr>
            </w:pPr>
            <w:r>
              <w:rPr>
                <w:rFonts w:hint="eastAsia" w:ascii="Times New Roman" w:hAnsi="Times New Roman"/>
                <w:szCs w:val="21"/>
              </w:rPr>
              <w:t>☑</w:t>
            </w:r>
            <w:r>
              <w:rPr>
                <w:rFonts w:ascii="Times New Roman" w:hAnsi="Times New Roman"/>
                <w:szCs w:val="21"/>
              </w:rPr>
              <w:t>不要求提供</w:t>
            </w:r>
          </w:p>
          <w:p>
            <w:pPr>
              <w:topLinePunct/>
              <w:autoSpaceDE w:val="0"/>
              <w:autoSpaceDN w:val="0"/>
              <w:adjustRightInd w:val="0"/>
              <w:snapToGrid w:val="0"/>
              <w:spacing w:line="400" w:lineRule="exact"/>
              <w:rPr>
                <w:rFonts w:ascii="Times New Roman" w:hAnsi="Times New Roman"/>
                <w:szCs w:val="21"/>
              </w:rPr>
            </w:pPr>
            <w:r>
              <w:rPr>
                <w:rFonts w:hint="eastAsia" w:ascii="Times New Roman" w:hAnsi="Times New Roman"/>
                <w:szCs w:val="21"/>
              </w:rPr>
              <w:t>□</w:t>
            </w:r>
            <w:r>
              <w:rPr>
                <w:rFonts w:ascii="Times New Roman" w:hAnsi="Times New Roman"/>
                <w:szCs w:val="21"/>
              </w:rPr>
              <w:t>要求提供：</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（1）金额：</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采购包1</w:t>
            </w:r>
            <w:r>
              <w:rPr>
                <w:rFonts w:hint="eastAsia" w:ascii="Times New Roman" w:hAnsi="Times New Roman"/>
                <w:szCs w:val="21"/>
              </w:rPr>
              <w:t>、采购包2、采购包3、采购包4</w:t>
            </w:r>
            <w:r>
              <w:rPr>
                <w:rFonts w:ascii="Times New Roman" w:hAnsi="Times New Roman"/>
                <w:szCs w:val="21"/>
              </w:rPr>
              <w:t>：人民币</w:t>
            </w:r>
            <w:r>
              <w:rPr>
                <w:rFonts w:ascii="Times New Roman" w:hAnsi="Times New Roman"/>
                <w:szCs w:val="21"/>
                <w:u w:val="single"/>
              </w:rPr>
              <w:t xml:space="preserve">  </w:t>
            </w:r>
            <w:r>
              <w:rPr>
                <w:rFonts w:ascii="Times New Roman" w:hAnsi="Times New Roman"/>
                <w:i/>
                <w:szCs w:val="21"/>
                <w:u w:val="single"/>
              </w:rPr>
              <w:t xml:space="preserve"> </w:t>
            </w:r>
            <w:r>
              <w:rPr>
                <w:rFonts w:hint="eastAsia" w:ascii="Times New Roman" w:hAnsi="Times New Roman"/>
                <w:i/>
                <w:szCs w:val="21"/>
                <w:u w:val="single"/>
              </w:rPr>
              <w:t>/</w:t>
            </w:r>
            <w:r>
              <w:rPr>
                <w:rFonts w:ascii="Times New Roman" w:hAnsi="Times New Roman"/>
                <w:i/>
                <w:szCs w:val="21"/>
                <w:u w:val="single"/>
              </w:rPr>
              <w:t xml:space="preserve">   </w:t>
            </w:r>
            <w:r>
              <w:rPr>
                <w:rFonts w:ascii="Times New Roman" w:hAnsi="Times New Roman"/>
                <w:szCs w:val="21"/>
                <w:u w:val="single"/>
              </w:rPr>
              <w:t xml:space="preserve"> </w:t>
            </w:r>
            <w:r>
              <w:rPr>
                <w:rFonts w:ascii="Times New Roman" w:hAnsi="Times New Roman"/>
                <w:szCs w:val="21"/>
              </w:rPr>
              <w:t>元。</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（2）提交方式：</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p>
          <w:p>
            <w:pPr>
              <w:topLinePunct/>
              <w:autoSpaceDE w:val="0"/>
              <w:autoSpaceDN w:val="0"/>
              <w:adjustRightInd w:val="0"/>
              <w:snapToGrid w:val="0"/>
              <w:spacing w:line="400" w:lineRule="exact"/>
              <w:rPr>
                <w:rFonts w:ascii="Times New Roman" w:hAnsi="Times New Roman"/>
                <w:szCs w:val="21"/>
                <w:u w:val="single"/>
              </w:rPr>
            </w:pPr>
            <w:r>
              <w:rPr>
                <w:rFonts w:ascii="Times New Roman" w:hAnsi="Times New Roman"/>
                <w:szCs w:val="21"/>
              </w:rPr>
              <w:t>收款账户：</w:t>
            </w:r>
            <w:r>
              <w:rPr>
                <w:rFonts w:ascii="Times New Roman" w:hAnsi="Times New Roman"/>
                <w:szCs w:val="21"/>
                <w:u w:val="single"/>
              </w:rPr>
              <w:t xml:space="preserve"> </w:t>
            </w:r>
            <w:r>
              <w:rPr>
                <w:rFonts w:hint="eastAsia" w:ascii="Times New Roman" w:hAnsi="Times New Roman"/>
                <w:szCs w:val="21"/>
                <w:u w:val="single"/>
              </w:rPr>
              <w:t>福建省智信招标有限公司</w:t>
            </w:r>
            <w:r>
              <w:rPr>
                <w:rFonts w:ascii="Times New Roman" w:hAnsi="Times New Roman"/>
                <w:szCs w:val="21"/>
                <w:u w:val="single"/>
              </w:rPr>
              <w:t xml:space="preserve"> </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开户银行：</w:t>
            </w:r>
            <w:r>
              <w:rPr>
                <w:rFonts w:ascii="Times New Roman" w:hAnsi="Times New Roman"/>
                <w:szCs w:val="21"/>
                <w:u w:val="single"/>
              </w:rPr>
              <w:t xml:space="preserve"> </w:t>
            </w:r>
            <w:r>
              <w:rPr>
                <w:rFonts w:hint="eastAsia" w:ascii="Times New Roman" w:hAnsi="Times New Roman"/>
                <w:szCs w:val="21"/>
                <w:u w:val="single"/>
              </w:rPr>
              <w:t>中国光大银行福州市杨桥支行</w:t>
            </w:r>
            <w:r>
              <w:rPr>
                <w:rFonts w:ascii="Times New Roman" w:hAnsi="Times New Roman"/>
                <w:szCs w:val="21"/>
                <w:u w:val="single"/>
              </w:rPr>
              <w:t xml:space="preserve"> </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szCs w:val="21"/>
              </w:rPr>
              <w:t>银行账户：</w:t>
            </w:r>
            <w:r>
              <w:rPr>
                <w:rFonts w:ascii="Times New Roman" w:hAnsi="Times New Roman"/>
                <w:szCs w:val="21"/>
                <w:u w:val="single"/>
              </w:rPr>
              <w:t xml:space="preserve"> </w:t>
            </w:r>
            <w:r>
              <w:rPr>
                <w:rFonts w:hint="eastAsia" w:ascii="Times New Roman" w:hAnsi="Times New Roman"/>
                <w:szCs w:val="21"/>
                <w:u w:val="single"/>
              </w:rPr>
              <w:t>087739120100304037933</w:t>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20</w:t>
            </w:r>
          </w:p>
        </w:tc>
        <w:tc>
          <w:tcPr>
            <w:tcW w:w="1863" w:type="dxa"/>
            <w:vMerge w:val="restart"/>
            <w:vAlign w:val="center"/>
          </w:tcPr>
          <w:p>
            <w:pPr>
              <w:tabs>
                <w:tab w:val="left" w:pos="1875"/>
              </w:tabs>
              <w:adjustRightInd w:val="0"/>
              <w:snapToGrid w:val="0"/>
              <w:spacing w:line="400" w:lineRule="exact"/>
              <w:jc w:val="center"/>
              <w:rPr>
                <w:rFonts w:ascii="Times New Roman" w:hAnsi="Times New Roman"/>
                <w:szCs w:val="21"/>
              </w:rPr>
            </w:pPr>
            <w:r>
              <w:rPr>
                <w:rFonts w:ascii="Times New Roman" w:hAnsi="Times New Roman"/>
                <w:szCs w:val="21"/>
              </w:rPr>
              <w:t>不予退还投标保证金的情形</w:t>
            </w:r>
          </w:p>
        </w:tc>
        <w:tc>
          <w:tcPr>
            <w:tcW w:w="6179" w:type="dxa"/>
            <w:gridSpan w:val="2"/>
            <w:vAlign w:val="center"/>
          </w:tcPr>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有下列情形之一的，投标保证金将不予退还：</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（1）投标人串通投标或有视为串通投标情形之一的；</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（2）投标人提供虚假材料；</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（3）投标人采取不正当手段诋毁、排挤其他投标人；</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（4）投标截止时间后，投标人在投标有效期内撤销投标文件；</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（5）中标人有下列情形之一的：</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a.除不可抗力外，因中标人自身原因未在中标通知书要求的期限内与采购人签订政府采购合同；</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b.未按照招标文件、投标文件的约定签订政府采购合同或提交履约保证金。</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400" w:lineRule="exact"/>
              <w:jc w:val="center"/>
              <w:rPr>
                <w:rFonts w:ascii="Times New Roman" w:hAnsi="Times New Roman"/>
                <w:szCs w:val="21"/>
              </w:rPr>
            </w:pPr>
          </w:p>
        </w:tc>
        <w:tc>
          <w:tcPr>
            <w:tcW w:w="1863" w:type="dxa"/>
            <w:vMerge w:val="continue"/>
            <w:vAlign w:val="center"/>
          </w:tcPr>
          <w:p>
            <w:pPr>
              <w:adjustRightInd w:val="0"/>
              <w:snapToGrid w:val="0"/>
              <w:spacing w:line="400" w:lineRule="exact"/>
              <w:jc w:val="center"/>
              <w:rPr>
                <w:rFonts w:ascii="Times New Roman" w:hAnsi="Times New Roman"/>
                <w:szCs w:val="21"/>
              </w:rPr>
            </w:pPr>
          </w:p>
        </w:tc>
        <w:tc>
          <w:tcPr>
            <w:tcW w:w="6179" w:type="dxa"/>
            <w:gridSpan w:val="2"/>
            <w:vAlign w:val="center"/>
          </w:tcPr>
          <w:p>
            <w:pPr>
              <w:topLinePunct/>
              <w:autoSpaceDE w:val="0"/>
              <w:autoSpaceDN w:val="0"/>
              <w:spacing w:line="400" w:lineRule="exact"/>
              <w:rPr>
                <w:rFonts w:ascii="Times New Roman" w:hAnsi="Times New Roman"/>
                <w:szCs w:val="21"/>
              </w:rPr>
            </w:pPr>
            <w:r>
              <w:rPr>
                <w:rFonts w:ascii="Times New Roman" w:hAnsi="Times New Roman"/>
                <w:szCs w:val="21"/>
              </w:rPr>
              <w:t>其他不予退还投标保证金的情形：</w:t>
            </w:r>
            <w:r>
              <w:rPr>
                <w:rFonts w:ascii="Times New Roman" w:hAnsi="Times New Roman"/>
                <w:szCs w:val="21"/>
                <w:u w:val="single"/>
              </w:rPr>
              <w:t xml:space="preserve">   </w:t>
            </w:r>
            <w:r>
              <w:rPr>
                <w:rFonts w:hint="eastAsia" w:ascii="Times New Roman" w:hAnsi="Times New Roman"/>
                <w:szCs w:val="21"/>
                <w:u w:val="single"/>
              </w:rPr>
              <w:t>无</w:t>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21</w:t>
            </w:r>
          </w:p>
        </w:tc>
        <w:tc>
          <w:tcPr>
            <w:tcW w:w="1863" w:type="dxa"/>
            <w:vAlign w:val="center"/>
          </w:tcPr>
          <w:p>
            <w:pPr>
              <w:adjustRightInd w:val="0"/>
              <w:snapToGrid w:val="0"/>
              <w:spacing w:line="400" w:lineRule="exact"/>
              <w:jc w:val="center"/>
              <w:rPr>
                <w:rFonts w:ascii="Times New Roman" w:hAnsi="Times New Roman"/>
                <w:b/>
                <w:szCs w:val="21"/>
              </w:rPr>
            </w:pPr>
            <w:r>
              <w:rPr>
                <w:rFonts w:ascii="Times New Roman" w:hAnsi="Times New Roman"/>
                <w:szCs w:val="21"/>
              </w:rPr>
              <w:t>信用记录审查</w:t>
            </w:r>
          </w:p>
        </w:tc>
        <w:tc>
          <w:tcPr>
            <w:tcW w:w="6179" w:type="dxa"/>
            <w:gridSpan w:val="2"/>
            <w:vAlign w:val="center"/>
          </w:tcPr>
          <w:p>
            <w:pPr>
              <w:topLinePunct/>
              <w:autoSpaceDE w:val="0"/>
              <w:autoSpaceDN w:val="0"/>
              <w:spacing w:line="400" w:lineRule="exact"/>
              <w:rPr>
                <w:rFonts w:ascii="Times New Roman" w:hAnsi="Times New Roman"/>
                <w:snapToGrid w:val="0"/>
                <w:szCs w:val="21"/>
              </w:rPr>
            </w:pPr>
            <w:r>
              <w:rPr>
                <w:rFonts w:ascii="Times New Roman" w:hAnsi="Times New Roman"/>
                <w:szCs w:val="21"/>
              </w:rPr>
              <w:t>根据《财政部关于在政府采购活动中查询及使用信用记录有关问题的通知》（财库〔2016〕125号）规定，开标结束后，采购人、采购代理机构将通过“信用中国”网站（www.creditchina.gov.cn）、中国政府采购网（</w:t>
            </w:r>
            <w:r>
              <w:fldChar w:fldCharType="begin"/>
            </w:r>
            <w:r>
              <w:instrText xml:space="preserve"> HYPERLINK "http://www.ccgp.gov.cn" </w:instrText>
            </w:r>
            <w:r>
              <w:fldChar w:fldCharType="separate"/>
            </w:r>
            <w:r>
              <w:rPr>
                <w:rFonts w:ascii="Times New Roman" w:hAnsi="Times New Roman"/>
                <w:szCs w:val="21"/>
              </w:rPr>
              <w:t>www.ccgp.gov.cn</w:t>
            </w:r>
            <w:r>
              <w:rPr>
                <w:rFonts w:ascii="Times New Roman" w:hAnsi="Times New Roman"/>
                <w:szCs w:val="21"/>
              </w:rPr>
              <w:fldChar w:fldCharType="end"/>
            </w:r>
            <w:r>
              <w:rPr>
                <w:rFonts w:ascii="Times New Roman" w:hAnsi="Times New Roman"/>
                <w:szCs w:val="21"/>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本次查询的信用记录仅限于本项目使用，查询结果将留存在采购档案中。</w:t>
            </w:r>
          </w:p>
          <w:p>
            <w:pPr>
              <w:adjustRightInd w:val="0"/>
              <w:snapToGrid w:val="0"/>
              <w:spacing w:line="400" w:lineRule="exact"/>
              <w:jc w:val="left"/>
              <w:rPr>
                <w:rFonts w:ascii="Times New Roman" w:hAnsi="Times New Roman"/>
                <w:szCs w:val="21"/>
              </w:rPr>
            </w:pPr>
            <w:r>
              <w:rPr>
                <w:rFonts w:ascii="Times New Roman" w:hAnsi="Times New Roman"/>
                <w:szCs w:val="21"/>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22</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支持中小型</w:t>
            </w:r>
          </w:p>
          <w:p>
            <w:pPr>
              <w:topLinePunct/>
              <w:autoSpaceDE w:val="0"/>
              <w:autoSpaceDN w:val="0"/>
              <w:adjustRightInd w:val="0"/>
              <w:snapToGrid w:val="0"/>
              <w:spacing w:line="400" w:lineRule="exact"/>
              <w:jc w:val="center"/>
              <w:rPr>
                <w:rFonts w:ascii="Times New Roman" w:hAnsi="Times New Roman"/>
                <w:b/>
                <w:szCs w:val="21"/>
              </w:rPr>
            </w:pPr>
            <w:r>
              <w:rPr>
                <w:rFonts w:ascii="Times New Roman" w:hAnsi="Times New Roman"/>
                <w:szCs w:val="21"/>
              </w:rPr>
              <w:t>企业发展</w:t>
            </w:r>
          </w:p>
        </w:tc>
        <w:tc>
          <w:tcPr>
            <w:tcW w:w="6179" w:type="dxa"/>
            <w:gridSpan w:val="2"/>
            <w:vAlign w:val="center"/>
          </w:tcPr>
          <w:p>
            <w:pPr>
              <w:adjustRightInd w:val="0"/>
              <w:snapToGrid w:val="0"/>
              <w:spacing w:line="400" w:lineRule="exact"/>
            </w:pPr>
            <w:r>
              <w:t>根据《政府采购促进中小型企业发展管理办法》（财库〔2020〕46号），鼓励中小企业参加本项目采购活动。</w:t>
            </w:r>
          </w:p>
          <w:p>
            <w:pPr>
              <w:adjustRightInd w:val="0"/>
              <w:snapToGrid w:val="0"/>
              <w:spacing w:line="400" w:lineRule="exact"/>
            </w:pPr>
            <w:r>
              <w:t>在货物采购项目中，满足所有标的均由中小企业制造，即所有标的均由中小企业生产且使用该中小企业商号或者注册商标的，可享受中小企业扶持政策。</w:t>
            </w:r>
          </w:p>
          <w:p>
            <w:pPr>
              <w:adjustRightInd w:val="0"/>
              <w:snapToGrid w:val="0"/>
              <w:spacing w:line="400" w:lineRule="exact"/>
            </w:pPr>
            <w:r>
              <w:t>在服务采购项目中，满足服务由中小企业承接，即提供服务的人员为中小企业依照《中华人民共和国劳动合同法》订立劳动合同的从业人员的，可享受中小企业扶持政策。</w:t>
            </w:r>
          </w:p>
          <w:p>
            <w:pPr>
              <w:adjustRightInd w:val="0"/>
              <w:snapToGrid w:val="0"/>
              <w:spacing w:line="400" w:lineRule="exact"/>
            </w:pPr>
            <w:r>
              <w:t>本项目：</w:t>
            </w:r>
          </w:p>
          <w:p>
            <w:pPr>
              <w:adjustRightInd w:val="0"/>
              <w:snapToGrid w:val="0"/>
              <w:spacing w:line="400" w:lineRule="exact"/>
            </w:pPr>
            <w:r>
              <w:rPr>
                <w:rFonts w:hint="eastAsia"/>
              </w:rPr>
              <w:t>□</w:t>
            </w:r>
            <w:r>
              <w:t>专门面向中小企业采购项目。</w:t>
            </w:r>
          </w:p>
          <w:p>
            <w:pPr>
              <w:adjustRightInd w:val="0"/>
              <w:snapToGrid w:val="0"/>
              <w:spacing w:line="400" w:lineRule="exact"/>
            </w:pPr>
            <w:r>
              <w:rPr>
                <w:rFonts w:hint="eastAsia"/>
              </w:rPr>
              <w:t>□</w:t>
            </w:r>
            <w:r>
              <w:t>预留份额面向中小企业采购项目（说明：        ）。</w:t>
            </w:r>
          </w:p>
          <w:p>
            <w:pPr>
              <w:adjustRightInd w:val="0"/>
              <w:snapToGrid w:val="0"/>
              <w:spacing w:line="400" w:lineRule="exact"/>
            </w:pPr>
            <w:r>
              <w:rPr>
                <w:rFonts w:hint="eastAsia"/>
              </w:rPr>
              <w:sym w:font="Wingdings 2" w:char="0052"/>
            </w:r>
            <w:r>
              <w:t xml:space="preserve">非专门面向中小企业采购项目。对小型和微型企业的投标价格给予 </w:t>
            </w:r>
            <w:r>
              <w:rPr>
                <w:rFonts w:hint="eastAsia"/>
                <w:u w:val="single"/>
              </w:rPr>
              <w:t>20</w:t>
            </w:r>
            <w:r>
              <w:rPr>
                <w:u w:val="single"/>
              </w:rPr>
              <w:t xml:space="preserve"> %</w:t>
            </w:r>
            <w:r>
              <w:t>的扣除，用扣除后的价格参与评审。</w:t>
            </w:r>
          </w:p>
          <w:p>
            <w:pPr>
              <w:pStyle w:val="11"/>
              <w:spacing w:line="460" w:lineRule="exact"/>
              <w:jc w:val="left"/>
            </w:pPr>
            <w:r>
              <w:rPr>
                <w:rFonts w:hint="eastAsia" w:ascii="Calibri" w:hAnsi="Calibri" w:cs="Times New Roman"/>
                <w:szCs w:val="22"/>
              </w:rPr>
              <w:t>根据财政部、工业和信息化部关于发布《政府采购促进中小企业发展管理办法》（财库</w:t>
            </w:r>
            <w:r>
              <w:rPr>
                <w:rFonts w:ascii="Calibri" w:hAnsi="Calibri" w:cs="Times New Roman"/>
                <w:szCs w:val="22"/>
              </w:rPr>
              <w:t>[2020]46</w:t>
            </w:r>
            <w:r>
              <w:rPr>
                <w:rFonts w:hint="eastAsia" w:ascii="Calibri" w:hAnsi="Calibri" w:cs="Times New Roman"/>
                <w:szCs w:val="22"/>
              </w:rPr>
              <w:t>号）和《关于进一步加大政府采购支持中小企业力度的通知》（财库﹝</w:t>
            </w:r>
            <w:r>
              <w:rPr>
                <w:rFonts w:ascii="Calibri" w:hAnsi="Calibri" w:cs="Times New Roman"/>
                <w:szCs w:val="22"/>
              </w:rPr>
              <w:t>2022</w:t>
            </w:r>
            <w:r>
              <w:rPr>
                <w:rFonts w:hint="eastAsia" w:ascii="Calibri" w:hAnsi="Calibri" w:cs="Times New Roman"/>
                <w:szCs w:val="22"/>
              </w:rPr>
              <w:t>﹞</w:t>
            </w:r>
            <w:r>
              <w:rPr>
                <w:rFonts w:ascii="Calibri" w:hAnsi="Calibri" w:cs="Times New Roman"/>
                <w:szCs w:val="22"/>
              </w:rPr>
              <w:t>19</w:t>
            </w:r>
            <w:r>
              <w:rPr>
                <w:rFonts w:hint="eastAsia" w:ascii="Calibri" w:hAnsi="Calibri" w:cs="Times New Roman"/>
                <w:szCs w:val="22"/>
              </w:rPr>
              <w:t>号）规定，对于承接本项目服务的小型和微型企业，在价格评审时给予</w:t>
            </w:r>
            <w:r>
              <w:rPr>
                <w:rFonts w:ascii="Calibri" w:hAnsi="Calibri" w:cs="Times New Roman"/>
                <w:szCs w:val="22"/>
              </w:rPr>
              <w:t>10%</w:t>
            </w:r>
            <w:r>
              <w:rPr>
                <w:rFonts w:hint="eastAsia" w:ascii="Calibri" w:hAnsi="Calibri" w:cs="Times New Roman"/>
                <w:szCs w:val="22"/>
              </w:rPr>
              <w:t>～</w:t>
            </w:r>
            <w:r>
              <w:rPr>
                <w:rFonts w:ascii="Calibri" w:hAnsi="Calibri" w:cs="Times New Roman"/>
                <w:szCs w:val="22"/>
              </w:rPr>
              <w:t>20%</w:t>
            </w:r>
            <w:r>
              <w:rPr>
                <w:rFonts w:hint="eastAsia" w:ascii="Calibri" w:hAnsi="Calibri" w:cs="Times New Roman"/>
                <w:szCs w:val="22"/>
              </w:rPr>
              <w:t>的扣除，本项目的扣除比例为</w:t>
            </w:r>
            <w:r>
              <w:rPr>
                <w:rFonts w:ascii="Calibri" w:hAnsi="Calibri" w:cs="Times New Roman"/>
                <w:szCs w:val="22"/>
              </w:rPr>
              <w:t>20%</w:t>
            </w:r>
            <w:r>
              <w:rPr>
                <w:rFonts w:hint="eastAsia" w:ascii="Calibri" w:hAnsi="Calibri" w:cs="Times New Roman"/>
                <w:szCs w:val="22"/>
              </w:rPr>
              <w:t>，用扣除后的价格参与评审。对于分包意向协议约定小微企业的合同份额占到合同总金额</w:t>
            </w:r>
            <w:r>
              <w:rPr>
                <w:rFonts w:ascii="Calibri" w:hAnsi="Calibri" w:cs="Times New Roman"/>
                <w:szCs w:val="22"/>
              </w:rPr>
              <w:t>30%</w:t>
            </w:r>
            <w:r>
              <w:rPr>
                <w:rFonts w:hint="eastAsia" w:ascii="Calibri" w:hAnsi="Calibri" w:cs="Times New Roman"/>
                <w:szCs w:val="22"/>
              </w:rPr>
              <w:t>以上（含）的，对大中型企业的报价扣除比例为</w:t>
            </w:r>
            <w:r>
              <w:rPr>
                <w:rFonts w:ascii="Calibri" w:hAnsi="Calibri" w:cs="Times New Roman"/>
                <w:szCs w:val="22"/>
              </w:rPr>
              <w:t>4%—6%</w:t>
            </w:r>
            <w:r>
              <w:rPr>
                <w:rFonts w:hint="eastAsia" w:ascii="Calibri" w:hAnsi="Calibri" w:cs="Times New Roman"/>
                <w:szCs w:val="22"/>
              </w:rPr>
              <w:t>，本项目扣除比例为</w:t>
            </w:r>
            <w:r>
              <w:rPr>
                <w:rFonts w:ascii="Calibri" w:hAnsi="Calibri" w:cs="Times New Roman"/>
                <w:szCs w:val="22"/>
              </w:rPr>
              <w:t>6%</w:t>
            </w:r>
            <w:r>
              <w:rPr>
                <w:rFonts w:hint="eastAsia" w:ascii="Calibri" w:hAnsi="Calibri" w:cs="Times New Roman"/>
                <w:szCs w:val="22"/>
              </w:rPr>
              <w:t>，用扣除后的价格参与评审。本项目为服务类采购项目，对应的中小企业划分标准所属行业为</w:t>
            </w:r>
            <w:r>
              <w:rPr>
                <w:rFonts w:hint="eastAsia" w:ascii="Calibri" w:hAnsi="Calibri" w:cs="Times New Roman"/>
                <w:b/>
                <w:bCs/>
                <w:szCs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23</w:t>
            </w:r>
          </w:p>
        </w:tc>
        <w:tc>
          <w:tcPr>
            <w:tcW w:w="1863" w:type="dxa"/>
            <w:vAlign w:val="center"/>
          </w:tcPr>
          <w:p>
            <w:pPr>
              <w:topLinePunct/>
              <w:autoSpaceDE w:val="0"/>
              <w:autoSpaceDN w:val="0"/>
              <w:adjustRightInd w:val="0"/>
              <w:snapToGrid w:val="0"/>
              <w:spacing w:line="400" w:lineRule="exact"/>
              <w:jc w:val="center"/>
              <w:rPr>
                <w:rFonts w:ascii="Times New Roman" w:hAnsi="Times New Roman"/>
                <w:b/>
                <w:szCs w:val="21"/>
              </w:rPr>
            </w:pPr>
            <w:r>
              <w:rPr>
                <w:rFonts w:ascii="Times New Roman" w:hAnsi="Times New Roman"/>
                <w:szCs w:val="21"/>
              </w:rPr>
              <w:t>支持监狱企业发展</w:t>
            </w:r>
          </w:p>
        </w:tc>
        <w:tc>
          <w:tcPr>
            <w:tcW w:w="6179" w:type="dxa"/>
            <w:gridSpan w:val="2"/>
            <w:vAlign w:val="center"/>
          </w:tcPr>
          <w:p>
            <w:pPr>
              <w:adjustRightInd w:val="0"/>
              <w:snapToGrid w:val="0"/>
              <w:spacing w:line="360" w:lineRule="auto"/>
              <w:jc w:val="left"/>
              <w:rPr>
                <w:rFonts w:ascii="Times New Roman" w:hAnsi="Times New Roman"/>
                <w:szCs w:val="21"/>
              </w:rPr>
            </w:pPr>
            <w:r>
              <w:rPr>
                <w:rFonts w:ascii="Times New Roman" w:hAnsi="Times New Roman"/>
                <w:szCs w:val="21"/>
              </w:rPr>
              <w:t>根据《关于政府采购支持监狱企业发展有关问题的通知》（财库〔2014〕68号），监狱企业视同小型、微型企业，按照</w:t>
            </w:r>
            <w:r>
              <w:rPr>
                <w:rFonts w:ascii="Times New Roman" w:hAnsi="Times New Roman"/>
                <w:b/>
                <w:bCs/>
                <w:szCs w:val="21"/>
              </w:rPr>
              <w:t>投标人须知前附表第22项</w:t>
            </w:r>
            <w:r>
              <w:rPr>
                <w:rFonts w:ascii="Times New Roman" w:hAnsi="Times New Roman"/>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24</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促进残疾人</w:t>
            </w:r>
          </w:p>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就业</w:t>
            </w:r>
          </w:p>
        </w:tc>
        <w:tc>
          <w:tcPr>
            <w:tcW w:w="6179" w:type="dxa"/>
            <w:gridSpan w:val="2"/>
            <w:vAlign w:val="center"/>
          </w:tcPr>
          <w:p>
            <w:pPr>
              <w:adjustRightInd w:val="0"/>
              <w:snapToGrid w:val="0"/>
              <w:spacing w:line="360" w:lineRule="auto"/>
              <w:rPr>
                <w:rFonts w:ascii="Times New Roman" w:hAnsi="Times New Roman"/>
                <w:szCs w:val="21"/>
              </w:rPr>
            </w:pPr>
            <w:r>
              <w:rPr>
                <w:rFonts w:ascii="Times New Roman" w:hAnsi="Times New Roman"/>
                <w:szCs w:val="21"/>
              </w:rPr>
              <w:t>根据《关于促进残疾人就业政府采购政策的通知》（财库〔2017〕141号），残疾人福利性单位视同小型、微型企业，按照</w:t>
            </w:r>
            <w:r>
              <w:rPr>
                <w:rFonts w:ascii="Times New Roman" w:hAnsi="Times New Roman"/>
                <w:b/>
                <w:bCs/>
                <w:szCs w:val="21"/>
              </w:rPr>
              <w:t>投标人须知前附表第22项</w:t>
            </w:r>
            <w:r>
              <w:rPr>
                <w:rFonts w:ascii="Times New Roman" w:hAnsi="Times New Roman"/>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25</w:t>
            </w:r>
          </w:p>
        </w:tc>
        <w:tc>
          <w:tcPr>
            <w:tcW w:w="1863" w:type="dxa"/>
            <w:vMerge w:val="restart"/>
            <w:vAlign w:val="center"/>
          </w:tcPr>
          <w:p>
            <w:pPr>
              <w:topLinePunct/>
              <w:autoSpaceDE w:val="0"/>
              <w:autoSpaceDN w:val="0"/>
              <w:adjustRightInd w:val="0"/>
              <w:snapToGrid w:val="0"/>
              <w:spacing w:line="400" w:lineRule="exact"/>
              <w:jc w:val="center"/>
              <w:rPr>
                <w:rFonts w:ascii="Times New Roman" w:hAnsi="Times New Roman"/>
                <w:b/>
                <w:szCs w:val="21"/>
              </w:rPr>
            </w:pPr>
            <w:r>
              <w:rPr>
                <w:rFonts w:ascii="Times New Roman" w:hAnsi="Times New Roman"/>
                <w:szCs w:val="21"/>
              </w:rPr>
              <w:t>其他法律法规强制性规定或扶持政策</w:t>
            </w:r>
          </w:p>
        </w:tc>
        <w:tc>
          <w:tcPr>
            <w:tcW w:w="6179" w:type="dxa"/>
            <w:gridSpan w:val="2"/>
            <w:vAlign w:val="center"/>
          </w:tcPr>
          <w:p>
            <w:pPr>
              <w:spacing w:line="400" w:lineRule="exact"/>
              <w:rPr>
                <w:rFonts w:ascii="Times New Roman" w:hAnsi="Times New Roman"/>
                <w:szCs w:val="21"/>
              </w:rPr>
            </w:pPr>
            <w:r>
              <w:rPr>
                <w:rFonts w:ascii="Times New Roman" w:hAnsi="Times New Roman"/>
                <w:szCs w:val="21"/>
              </w:rPr>
              <w:t>本项目中强制采购节能产品的货物名称：</w:t>
            </w:r>
          </w:p>
          <w:p>
            <w:pPr>
              <w:spacing w:line="400" w:lineRule="exact"/>
              <w:rPr>
                <w:rFonts w:ascii="Times New Roman" w:hAnsi="Times New Roman"/>
                <w:szCs w:val="21"/>
              </w:rPr>
            </w:pPr>
            <w:r>
              <w:rPr>
                <w:rFonts w:ascii="Times New Roman" w:hAnsi="Times New Roman"/>
                <w:szCs w:val="21"/>
              </w:rPr>
              <w:t>采购包1</w:t>
            </w:r>
            <w:r>
              <w:rPr>
                <w:rFonts w:hint="eastAsia" w:ascii="Times New Roman" w:hAnsi="Times New Roman"/>
                <w:szCs w:val="21"/>
              </w:rPr>
              <w:t>、采购包2、采购包3、采购包4</w:t>
            </w:r>
            <w:r>
              <w:rPr>
                <w:rFonts w:ascii="Times New Roman" w:hAnsi="Times New Roman"/>
                <w:szCs w:val="21"/>
              </w:rPr>
              <w:t>：</w:t>
            </w:r>
            <w:r>
              <w:rPr>
                <w:rFonts w:ascii="Times New Roman" w:hAnsi="Times New Roman"/>
                <w:szCs w:val="21"/>
                <w:u w:val="single"/>
              </w:rPr>
              <w:t xml:space="preserve">  </w:t>
            </w:r>
            <w:r>
              <w:rPr>
                <w:rFonts w:hint="eastAsia" w:ascii="宋体" w:hAnsi="宋体" w:cs="宋体"/>
                <w:szCs w:val="21"/>
                <w:u w:val="single"/>
              </w:rPr>
              <w:t>无</w:t>
            </w:r>
            <w:r>
              <w:rPr>
                <w:rFonts w:ascii="Times New Roman" w:hAnsi="Times New Roman"/>
                <w:szCs w:val="21"/>
                <w:u w:val="single"/>
              </w:rPr>
              <w:t xml:space="preserve">   </w:t>
            </w:r>
            <w:r>
              <w:rPr>
                <w:rFonts w:ascii="Times New Roman" w:hAnsi="Times New Roman"/>
                <w:szCs w:val="21"/>
              </w:rPr>
              <w:t>。</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szCs w:val="21"/>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line="400" w:lineRule="exact"/>
              <w:jc w:val="center"/>
              <w:rPr>
                <w:rFonts w:ascii="Times New Roman" w:hAnsi="Times New Roman"/>
                <w:szCs w:val="21"/>
              </w:rPr>
            </w:pPr>
          </w:p>
        </w:tc>
        <w:tc>
          <w:tcPr>
            <w:tcW w:w="1863" w:type="dxa"/>
            <w:vMerge w:val="continue"/>
            <w:vAlign w:val="center"/>
          </w:tcPr>
          <w:p>
            <w:pPr>
              <w:topLinePunct/>
              <w:autoSpaceDE w:val="0"/>
              <w:autoSpaceDN w:val="0"/>
              <w:adjustRightInd w:val="0"/>
              <w:snapToGrid w:val="0"/>
              <w:spacing w:line="400" w:lineRule="exact"/>
              <w:jc w:val="center"/>
              <w:rPr>
                <w:rFonts w:ascii="Times New Roman" w:hAnsi="Times New Roman"/>
                <w:szCs w:val="21"/>
              </w:rPr>
            </w:pPr>
          </w:p>
        </w:tc>
        <w:tc>
          <w:tcPr>
            <w:tcW w:w="6179" w:type="dxa"/>
            <w:gridSpan w:val="2"/>
            <w:vAlign w:val="center"/>
          </w:tcPr>
          <w:p>
            <w:pPr>
              <w:spacing w:line="400" w:lineRule="exact"/>
              <w:rPr>
                <w:rFonts w:ascii="Times New Roman" w:hAnsi="Times New Roman"/>
                <w:szCs w:val="21"/>
              </w:rPr>
            </w:pPr>
            <w:r>
              <w:rPr>
                <w:rFonts w:ascii="Times New Roman" w:hAnsi="Times New Roman"/>
                <w:szCs w:val="21"/>
              </w:rPr>
              <w:t>本项目中采购信息安全产品的货物名称：</w:t>
            </w:r>
          </w:p>
          <w:p>
            <w:pPr>
              <w:spacing w:line="400" w:lineRule="exact"/>
              <w:rPr>
                <w:rFonts w:ascii="Times New Roman" w:hAnsi="Times New Roman"/>
                <w:szCs w:val="21"/>
              </w:rPr>
            </w:pPr>
            <w:r>
              <w:rPr>
                <w:rFonts w:ascii="Times New Roman" w:hAnsi="Times New Roman"/>
                <w:szCs w:val="21"/>
              </w:rPr>
              <w:t>采购包1</w:t>
            </w:r>
            <w:r>
              <w:rPr>
                <w:rFonts w:hint="eastAsia" w:ascii="Times New Roman" w:hAnsi="Times New Roman"/>
                <w:szCs w:val="21"/>
              </w:rPr>
              <w:t>、采购包2、采购包3、采购包4</w:t>
            </w:r>
            <w:r>
              <w:rPr>
                <w:rFonts w:ascii="Times New Roman" w:hAnsi="Times New Roman"/>
                <w:szCs w:val="21"/>
              </w:rPr>
              <w:t>：</w:t>
            </w:r>
            <w:r>
              <w:rPr>
                <w:rFonts w:ascii="Times New Roman" w:hAnsi="Times New Roman"/>
                <w:szCs w:val="21"/>
                <w:u w:val="single"/>
              </w:rPr>
              <w:t xml:space="preserve">  </w:t>
            </w:r>
            <w:r>
              <w:rPr>
                <w:rFonts w:hint="eastAsia" w:ascii="宋体" w:hAnsi="宋体" w:cs="宋体"/>
                <w:szCs w:val="21"/>
                <w:u w:val="single"/>
              </w:rPr>
              <w:t>无</w:t>
            </w:r>
            <w:r>
              <w:rPr>
                <w:rFonts w:ascii="Times New Roman" w:hAnsi="Times New Roman"/>
                <w:szCs w:val="21"/>
                <w:u w:val="single"/>
              </w:rPr>
              <w:t xml:space="preserve">   </w:t>
            </w:r>
            <w:r>
              <w:rPr>
                <w:rFonts w:ascii="Times New Roman" w:hAnsi="Times New Roman"/>
                <w:szCs w:val="21"/>
              </w:rPr>
              <w:t>。</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szCs w:val="21"/>
              </w:rPr>
              <w:t>注：投标人所投上述产品需为国家认证的信息安全产品，并提供由中国网络安全审查技术与认证中心（原中国信息安全认证中心）按国家标准认证颁发的有效认证证书复印件，否则投标无效。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line="400" w:lineRule="exact"/>
              <w:jc w:val="center"/>
              <w:rPr>
                <w:rFonts w:ascii="Times New Roman" w:hAnsi="Times New Roman"/>
                <w:szCs w:val="21"/>
              </w:rPr>
            </w:pPr>
          </w:p>
        </w:tc>
        <w:tc>
          <w:tcPr>
            <w:tcW w:w="1863" w:type="dxa"/>
            <w:vMerge w:val="continue"/>
            <w:vAlign w:val="center"/>
          </w:tcPr>
          <w:p>
            <w:pPr>
              <w:topLinePunct/>
              <w:autoSpaceDE w:val="0"/>
              <w:autoSpaceDN w:val="0"/>
              <w:adjustRightInd w:val="0"/>
              <w:snapToGrid w:val="0"/>
              <w:spacing w:line="400" w:lineRule="exact"/>
              <w:jc w:val="center"/>
              <w:rPr>
                <w:rFonts w:ascii="Times New Roman" w:hAnsi="Times New Roman"/>
                <w:szCs w:val="21"/>
              </w:rPr>
            </w:pPr>
          </w:p>
        </w:tc>
        <w:tc>
          <w:tcPr>
            <w:tcW w:w="6179" w:type="dxa"/>
            <w:gridSpan w:val="2"/>
            <w:vAlign w:val="center"/>
          </w:tcPr>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其他法律法规强制性规定或扶持政策：</w:t>
            </w:r>
          </w:p>
          <w:p>
            <w:pPr>
              <w:spacing w:line="400" w:lineRule="exact"/>
              <w:rPr>
                <w:rFonts w:ascii="Times New Roman" w:hAnsi="Times New Roman"/>
                <w:szCs w:val="21"/>
              </w:rPr>
            </w:pPr>
            <w:r>
              <w:rPr>
                <w:rFonts w:ascii="Times New Roman" w:hAnsi="Times New Roman"/>
                <w:szCs w:val="21"/>
              </w:rPr>
              <w:t>采购包1</w:t>
            </w:r>
            <w:r>
              <w:rPr>
                <w:rFonts w:hint="eastAsia" w:ascii="Times New Roman" w:hAnsi="Times New Roman"/>
                <w:szCs w:val="21"/>
              </w:rPr>
              <w:t>、采购包2、采购包3、采购包4</w:t>
            </w:r>
            <w:r>
              <w:rPr>
                <w:rFonts w:ascii="Times New Roman" w:hAnsi="Times New Roman"/>
                <w:szCs w:val="21"/>
              </w:rPr>
              <w:t>：</w:t>
            </w:r>
            <w:r>
              <w:rPr>
                <w:rFonts w:ascii="Times New Roman" w:hAnsi="Times New Roman"/>
                <w:szCs w:val="21"/>
                <w:u w:val="single"/>
              </w:rPr>
              <w:t xml:space="preserve">  </w:t>
            </w:r>
            <w:r>
              <w:rPr>
                <w:rFonts w:hint="eastAsia" w:ascii="宋体" w:hAnsi="宋体" w:cs="宋体"/>
                <w:szCs w:val="21"/>
                <w:u w:val="single"/>
              </w:rPr>
              <w:t>无</w:t>
            </w:r>
            <w:r>
              <w:rPr>
                <w:rFonts w:ascii="Times New Roman" w:hAnsi="Times New Roman"/>
                <w:szCs w:val="21"/>
                <w:u w:val="single"/>
              </w:rPr>
              <w:t xml:space="preserve">   </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26</w:t>
            </w:r>
          </w:p>
        </w:tc>
        <w:tc>
          <w:tcPr>
            <w:tcW w:w="1863" w:type="dxa"/>
            <w:vAlign w:val="center"/>
          </w:tcPr>
          <w:p>
            <w:pPr>
              <w:tabs>
                <w:tab w:val="left" w:pos="1875"/>
              </w:tabs>
              <w:adjustRightInd w:val="0"/>
              <w:snapToGrid w:val="0"/>
              <w:spacing w:line="400" w:lineRule="exact"/>
              <w:jc w:val="center"/>
              <w:rPr>
                <w:rFonts w:ascii="Times New Roman" w:hAnsi="Times New Roman"/>
                <w:szCs w:val="21"/>
              </w:rPr>
            </w:pPr>
            <w:r>
              <w:rPr>
                <w:rFonts w:ascii="Times New Roman" w:hAnsi="Times New Roman"/>
                <w:szCs w:val="21"/>
              </w:rPr>
              <w:t>评标方法</w:t>
            </w:r>
          </w:p>
          <w:p>
            <w:pPr>
              <w:tabs>
                <w:tab w:val="left" w:pos="1875"/>
              </w:tabs>
              <w:adjustRightInd w:val="0"/>
              <w:snapToGrid w:val="0"/>
              <w:spacing w:line="400" w:lineRule="exact"/>
              <w:jc w:val="center"/>
              <w:rPr>
                <w:rFonts w:ascii="Times New Roman" w:hAnsi="Times New Roman"/>
                <w:b/>
                <w:szCs w:val="21"/>
              </w:rPr>
            </w:pPr>
            <w:r>
              <w:rPr>
                <w:rFonts w:ascii="Times New Roman" w:hAnsi="Times New Roman"/>
                <w:szCs w:val="21"/>
              </w:rPr>
              <w:t>及分值</w:t>
            </w:r>
          </w:p>
        </w:tc>
        <w:tc>
          <w:tcPr>
            <w:tcW w:w="6179" w:type="dxa"/>
            <w:gridSpan w:val="2"/>
            <w:vAlign w:val="center"/>
          </w:tcPr>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本项目采用最低评标价法，详见招标文件商务部分第三章。</w:t>
            </w:r>
          </w:p>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本项目</w:t>
            </w:r>
            <w:r>
              <w:rPr>
                <w:rFonts w:hint="eastAsia" w:ascii="Times New Roman" w:hAnsi="Times New Roman"/>
                <w:szCs w:val="21"/>
              </w:rPr>
              <w:t>采购包1、2、3、4均</w:t>
            </w:r>
            <w:r>
              <w:rPr>
                <w:rFonts w:ascii="Times New Roman" w:hAnsi="Times New Roman"/>
                <w:szCs w:val="21"/>
              </w:rPr>
              <w:t>采用综合评分法，其中价格分值为</w:t>
            </w:r>
            <w:r>
              <w:rPr>
                <w:rFonts w:ascii="Times New Roman" w:hAnsi="Times New Roman"/>
                <w:szCs w:val="21"/>
                <w:u w:val="single"/>
              </w:rPr>
              <w:t xml:space="preserve"> </w:t>
            </w:r>
            <w:r>
              <w:rPr>
                <w:rFonts w:hint="eastAsia" w:ascii="Times New Roman" w:hAnsi="Times New Roman"/>
                <w:szCs w:val="21"/>
                <w:u w:val="single"/>
              </w:rPr>
              <w:t>15</w:t>
            </w:r>
            <w:r>
              <w:rPr>
                <w:rFonts w:ascii="Times New Roman" w:hAnsi="Times New Roman"/>
                <w:szCs w:val="21"/>
                <w:u w:val="single"/>
              </w:rPr>
              <w:t xml:space="preserve"> </w:t>
            </w:r>
            <w:r>
              <w:rPr>
                <w:rFonts w:ascii="Times New Roman" w:hAnsi="Times New Roman"/>
                <w:szCs w:val="21"/>
              </w:rPr>
              <w:t>分，其他因素分值为</w:t>
            </w:r>
            <w:r>
              <w:rPr>
                <w:rFonts w:ascii="Times New Roman" w:hAnsi="Times New Roman"/>
                <w:szCs w:val="21"/>
                <w:u w:val="single"/>
              </w:rPr>
              <w:t xml:space="preserve"> </w:t>
            </w:r>
            <w:r>
              <w:rPr>
                <w:rFonts w:hint="eastAsia" w:ascii="Times New Roman" w:hAnsi="Times New Roman"/>
                <w:szCs w:val="21"/>
                <w:u w:val="single"/>
              </w:rPr>
              <w:t>85</w:t>
            </w:r>
            <w:r>
              <w:rPr>
                <w:rFonts w:ascii="Times New Roman" w:hAnsi="Times New Roman"/>
                <w:szCs w:val="21"/>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27</w:t>
            </w:r>
          </w:p>
        </w:tc>
        <w:tc>
          <w:tcPr>
            <w:tcW w:w="1863" w:type="dxa"/>
            <w:vAlign w:val="center"/>
          </w:tcPr>
          <w:p>
            <w:pPr>
              <w:topLinePunct/>
              <w:autoSpaceDE w:val="0"/>
              <w:autoSpaceDN w:val="0"/>
              <w:adjustRightInd w:val="0"/>
              <w:snapToGrid w:val="0"/>
              <w:spacing w:line="400" w:lineRule="exact"/>
              <w:jc w:val="center"/>
              <w:rPr>
                <w:rFonts w:ascii="Times New Roman" w:hAnsi="Times New Roman"/>
                <w:b/>
                <w:szCs w:val="21"/>
              </w:rPr>
            </w:pPr>
            <w:r>
              <w:rPr>
                <w:rFonts w:ascii="Times New Roman" w:hAnsi="Times New Roman"/>
                <w:szCs w:val="21"/>
              </w:rPr>
              <w:t>履约保证金</w:t>
            </w:r>
          </w:p>
        </w:tc>
        <w:tc>
          <w:tcPr>
            <w:tcW w:w="6179" w:type="dxa"/>
            <w:gridSpan w:val="2"/>
            <w:vAlign w:val="center"/>
          </w:tcPr>
          <w:p>
            <w:pPr>
              <w:adjustRightInd w:val="0"/>
              <w:snapToGrid w:val="0"/>
              <w:spacing w:line="40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不要求提供</w:t>
            </w:r>
          </w:p>
          <w:p>
            <w:pPr>
              <w:topLinePunct/>
              <w:autoSpaceDE w:val="0"/>
              <w:autoSpaceDN w:val="0"/>
              <w:adjustRightInd w:val="0"/>
              <w:snapToGrid w:val="0"/>
              <w:spacing w:line="400" w:lineRule="exact"/>
              <w:rPr>
                <w:rFonts w:ascii="Times New Roman" w:hAnsi="Times New Roman"/>
                <w:szCs w:val="21"/>
              </w:rPr>
            </w:pPr>
            <w:r>
              <w:rPr>
                <w:rFonts w:hint="eastAsia" w:ascii="Times New Roman" w:hAnsi="Times New Roman"/>
                <w:szCs w:val="21"/>
              </w:rPr>
              <w:t>□</w:t>
            </w:r>
            <w:r>
              <w:t>履约保证金为</w:t>
            </w:r>
            <w:r>
              <w:rPr>
                <w:rFonts w:hint="eastAsia"/>
              </w:rPr>
              <w:t>人民币   万元（￥      ）</w:t>
            </w:r>
            <w:r>
              <w:t>，提交方式为银行电汇、金融机构或担保机构出具的保函</w:t>
            </w:r>
            <w:r>
              <w:rPr>
                <w:rFonts w:ascii="Times New Roman" w:hAnsi="Times New Roman"/>
                <w:szCs w:val="21"/>
              </w:rPr>
              <w:t>。</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账户信息：</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收款单位：</w:t>
            </w:r>
            <w:r>
              <w:rPr>
                <w:rFonts w:ascii="Times New Roman" w:hAnsi="Times New Roman"/>
                <w:szCs w:val="21"/>
                <w:u w:val="single"/>
              </w:rPr>
              <w:t xml:space="preserve"> </w:t>
            </w:r>
            <w:r>
              <w:rPr>
                <w:rFonts w:hint="eastAsia" w:ascii="宋体" w:hAnsi="宋体" w:cs="宋体"/>
                <w:kern w:val="0"/>
                <w:szCs w:val="21"/>
                <w:u w:val="single"/>
              </w:rPr>
              <w:t xml:space="preserve">                </w:t>
            </w:r>
            <w:r>
              <w:rPr>
                <w:rFonts w:ascii="Times New Roman" w:hAnsi="Times New Roman"/>
                <w:szCs w:val="21"/>
                <w:u w:val="single"/>
              </w:rPr>
              <w:t xml:space="preserve">  </w:t>
            </w:r>
          </w:p>
          <w:p>
            <w:pPr>
              <w:topLinePunct/>
              <w:autoSpaceDE w:val="0"/>
              <w:autoSpaceDN w:val="0"/>
              <w:adjustRightInd w:val="0"/>
              <w:snapToGrid w:val="0"/>
              <w:spacing w:line="400" w:lineRule="exact"/>
              <w:rPr>
                <w:rFonts w:ascii="Times New Roman" w:hAnsi="Times New Roman"/>
                <w:szCs w:val="21"/>
              </w:rPr>
            </w:pPr>
            <w:r>
              <w:rPr>
                <w:rFonts w:ascii="Times New Roman" w:hAnsi="Times New Roman"/>
                <w:szCs w:val="21"/>
              </w:rPr>
              <w:t>开户银行：</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topLinePunct/>
              <w:autoSpaceDE w:val="0"/>
              <w:autoSpaceDN w:val="0"/>
              <w:adjustRightInd w:val="0"/>
              <w:snapToGrid w:val="0"/>
              <w:spacing w:line="400" w:lineRule="exact"/>
              <w:rPr>
                <w:rFonts w:ascii="Times New Roman" w:hAnsi="Times New Roman"/>
                <w:b/>
                <w:szCs w:val="21"/>
              </w:rPr>
            </w:pPr>
            <w:r>
              <w:rPr>
                <w:rFonts w:ascii="Times New Roman" w:hAnsi="Times New Roman"/>
                <w:szCs w:val="21"/>
              </w:rPr>
              <w:t>银行账号：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28</w:t>
            </w:r>
          </w:p>
        </w:tc>
        <w:tc>
          <w:tcPr>
            <w:tcW w:w="1863" w:type="dxa"/>
            <w:vAlign w:val="center"/>
          </w:tcPr>
          <w:p>
            <w:pPr>
              <w:topLinePunct/>
              <w:autoSpaceDE w:val="0"/>
              <w:autoSpaceDN w:val="0"/>
              <w:adjustRightInd w:val="0"/>
              <w:snapToGrid w:val="0"/>
              <w:spacing w:line="400" w:lineRule="exact"/>
              <w:jc w:val="center"/>
              <w:rPr>
                <w:rFonts w:ascii="Times New Roman" w:hAnsi="Times New Roman"/>
                <w:b/>
                <w:szCs w:val="21"/>
              </w:rPr>
            </w:pPr>
            <w:r>
              <w:rPr>
                <w:rFonts w:ascii="Times New Roman" w:hAnsi="Times New Roman"/>
                <w:szCs w:val="21"/>
              </w:rPr>
              <w:t>接收质疑的方式、部门、电话和通讯地址</w:t>
            </w:r>
          </w:p>
        </w:tc>
        <w:tc>
          <w:tcPr>
            <w:tcW w:w="6179" w:type="dxa"/>
            <w:gridSpan w:val="2"/>
            <w:vAlign w:val="center"/>
          </w:tcPr>
          <w:p>
            <w:pPr>
              <w:spacing w:line="400" w:lineRule="exact"/>
              <w:rPr>
                <w:rFonts w:ascii="Times New Roman" w:hAnsi="Times New Roman"/>
                <w:szCs w:val="21"/>
              </w:rPr>
            </w:pPr>
            <w:r>
              <w:rPr>
                <w:rFonts w:ascii="Times New Roman" w:hAnsi="Times New Roman"/>
                <w:szCs w:val="21"/>
              </w:rPr>
              <w:t>质疑联系方式：</w:t>
            </w:r>
          </w:p>
          <w:p>
            <w:pPr>
              <w:spacing w:line="400" w:lineRule="exact"/>
              <w:rPr>
                <w:rFonts w:hint="eastAsia" w:ascii="宋体" w:hAnsi="宋体" w:cs="宋体"/>
                <w:szCs w:val="21"/>
                <w:u w:val="single"/>
              </w:rPr>
            </w:pPr>
            <w:r>
              <w:rPr>
                <w:rFonts w:hint="eastAsia" w:ascii="宋体" w:hAnsi="宋体" w:cs="宋体"/>
                <w:szCs w:val="21"/>
              </w:rPr>
              <w:t>（1）接收质疑函的方式：</w:t>
            </w:r>
            <w:r>
              <w:rPr>
                <w:rFonts w:hint="eastAsia" w:ascii="宋体" w:hAnsi="宋体" w:cs="宋体"/>
                <w:szCs w:val="21"/>
                <w:u w:val="single"/>
              </w:rPr>
              <w:t>书面形式</w:t>
            </w:r>
          </w:p>
          <w:p>
            <w:pPr>
              <w:spacing w:line="400" w:lineRule="exact"/>
              <w:rPr>
                <w:rFonts w:hint="eastAsia" w:ascii="宋体" w:hAnsi="宋体" w:cs="宋体"/>
                <w:szCs w:val="21"/>
                <w:u w:val="single"/>
              </w:rPr>
            </w:pPr>
            <w:r>
              <w:rPr>
                <w:rFonts w:hint="eastAsia" w:ascii="宋体" w:hAnsi="宋体" w:cs="宋体"/>
                <w:szCs w:val="21"/>
              </w:rPr>
              <w:t>（2）联系部门：</w:t>
            </w:r>
            <w:r>
              <w:rPr>
                <w:rFonts w:hint="eastAsia" w:ascii="宋体" w:hAnsi="宋体" w:cs="宋体"/>
                <w:szCs w:val="21"/>
                <w:u w:val="single"/>
              </w:rPr>
              <w:t>国家税务总局福建省税务局/福建省智信招标有限公司</w:t>
            </w:r>
          </w:p>
          <w:p>
            <w:pPr>
              <w:spacing w:line="400" w:lineRule="exact"/>
              <w:rPr>
                <w:rFonts w:hint="eastAsia" w:ascii="宋体" w:hAnsi="宋体" w:cs="宋体"/>
                <w:szCs w:val="21"/>
                <w:u w:val="single"/>
              </w:rPr>
            </w:pPr>
            <w:r>
              <w:rPr>
                <w:rFonts w:hint="eastAsia" w:ascii="宋体" w:hAnsi="宋体" w:cs="宋体"/>
                <w:szCs w:val="21"/>
              </w:rPr>
              <w:t>（3）联系电话：</w:t>
            </w:r>
            <w:r>
              <w:rPr>
                <w:rFonts w:hint="eastAsia" w:ascii="宋体" w:hAnsi="宋体" w:cs="宋体"/>
                <w:szCs w:val="21"/>
                <w:u w:val="single"/>
              </w:rPr>
              <w:t>0591-88318332、87530730、87616211转803</w:t>
            </w:r>
          </w:p>
          <w:p>
            <w:pPr>
              <w:spacing w:line="400" w:lineRule="exact"/>
              <w:rPr>
                <w:rFonts w:hint="eastAsia" w:ascii="宋体" w:hAnsi="宋体" w:cs="宋体"/>
                <w:szCs w:val="21"/>
                <w:u w:val="single"/>
              </w:rPr>
            </w:pPr>
            <w:r>
              <w:rPr>
                <w:rFonts w:hint="eastAsia" w:ascii="宋体" w:hAnsi="宋体" w:cs="宋体"/>
                <w:szCs w:val="21"/>
              </w:rPr>
              <w:t>（4）通讯地址：</w:t>
            </w:r>
            <w:r>
              <w:rPr>
                <w:rFonts w:hint="eastAsia" w:ascii="宋体" w:hAnsi="宋体" w:cs="宋体"/>
                <w:szCs w:val="21"/>
                <w:u w:val="single"/>
              </w:rPr>
              <w:t>福建省福州市鼓楼区五四路159号世界金龙大厦第14层A单元福建省智信招标有限公司</w:t>
            </w:r>
          </w:p>
          <w:p>
            <w:pPr>
              <w:pStyle w:val="30"/>
              <w:spacing w:line="400" w:lineRule="exact"/>
              <w:rPr>
                <w:rFonts w:ascii="Times New Roman" w:hAnsi="Times New Roman"/>
                <w:szCs w:val="21"/>
              </w:rPr>
            </w:pPr>
            <w:r>
              <w:rPr>
                <w:rFonts w:hint="eastAsia" w:ascii="宋体" w:hAnsi="宋体" w:cs="宋体"/>
                <w:szCs w:val="21"/>
              </w:rPr>
              <w:t>（5）电子邮箱：</w:t>
            </w:r>
            <w:r>
              <w:rPr>
                <w:rFonts w:hint="eastAsia" w:ascii="宋体" w:hAnsi="宋体" w:cs="宋体"/>
                <w:szCs w:val="21"/>
                <w:u w:val="single"/>
              </w:rPr>
              <w:t>zhixin01@126.com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29</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需提交的投标文件份数</w:t>
            </w:r>
          </w:p>
        </w:tc>
        <w:tc>
          <w:tcPr>
            <w:tcW w:w="6179" w:type="dxa"/>
            <w:gridSpan w:val="2"/>
            <w:vAlign w:val="center"/>
          </w:tcPr>
          <w:p>
            <w:pPr>
              <w:spacing w:line="400" w:lineRule="exact"/>
              <w:rPr>
                <w:rFonts w:ascii="Times New Roman" w:hAnsi="Times New Roman"/>
                <w:szCs w:val="21"/>
              </w:rPr>
            </w:pPr>
            <w:r>
              <w:rPr>
                <w:rFonts w:ascii="Times New Roman" w:hAnsi="Times New Roman"/>
                <w:szCs w:val="21"/>
              </w:rPr>
              <w:t>需提交的投标文件份数：</w:t>
            </w:r>
          </w:p>
          <w:p>
            <w:pPr>
              <w:spacing w:line="400" w:lineRule="exact"/>
              <w:rPr>
                <w:rFonts w:ascii="Times New Roman" w:hAnsi="Times New Roman"/>
                <w:szCs w:val="21"/>
              </w:rPr>
            </w:pPr>
            <w:r>
              <w:rPr>
                <w:rFonts w:ascii="Times New Roman" w:hAnsi="Times New Roman"/>
                <w:szCs w:val="21"/>
              </w:rPr>
              <w:t>（1）正本</w:t>
            </w:r>
            <w:r>
              <w:rPr>
                <w:rFonts w:ascii="Times New Roman" w:hAnsi="Times New Roman"/>
                <w:szCs w:val="21"/>
                <w:u w:val="single"/>
              </w:rPr>
              <w:t>1</w:t>
            </w:r>
            <w:r>
              <w:rPr>
                <w:rFonts w:ascii="Times New Roman" w:hAnsi="Times New Roman"/>
                <w:szCs w:val="21"/>
              </w:rPr>
              <w:t>份、副本</w:t>
            </w:r>
            <w:r>
              <w:rPr>
                <w:rFonts w:hint="eastAsia" w:ascii="Times New Roman" w:hAnsi="Times New Roman"/>
                <w:szCs w:val="21"/>
                <w:u w:val="single"/>
              </w:rPr>
              <w:t>5</w:t>
            </w:r>
            <w:r>
              <w:rPr>
                <w:rFonts w:ascii="Times New Roman" w:hAnsi="Times New Roman"/>
                <w:szCs w:val="21"/>
              </w:rPr>
              <w:t>份。</w:t>
            </w:r>
          </w:p>
          <w:p>
            <w:pPr>
              <w:spacing w:line="400" w:lineRule="exact"/>
              <w:rPr>
                <w:rFonts w:ascii="Times New Roman" w:hAnsi="Times New Roman"/>
                <w:szCs w:val="21"/>
              </w:rPr>
            </w:pPr>
            <w:r>
              <w:rPr>
                <w:rFonts w:ascii="Times New Roman" w:hAnsi="Times New Roman"/>
                <w:szCs w:val="21"/>
              </w:rPr>
              <w:t>（2）电子文件</w:t>
            </w:r>
            <w:r>
              <w:rPr>
                <w:rFonts w:hint="eastAsia" w:ascii="Times New Roman" w:hAnsi="Times New Roman"/>
                <w:szCs w:val="21"/>
                <w:u w:val="single"/>
              </w:rPr>
              <w:t>1</w:t>
            </w:r>
            <w:r>
              <w:rPr>
                <w:rFonts w:ascii="Times New Roman" w:hAnsi="Times New Roman"/>
                <w:szCs w:val="21"/>
              </w:rPr>
              <w:t>份（</w:t>
            </w:r>
            <w:r>
              <w:rPr>
                <w:rFonts w:hint="eastAsia" w:ascii="Times New Roman" w:hAnsi="Times New Roman"/>
                <w:szCs w:val="21"/>
              </w:rPr>
              <w:t>☑</w:t>
            </w:r>
            <w:r>
              <w:rPr>
                <w:rFonts w:ascii="Times New Roman" w:hAnsi="Times New Roman"/>
                <w:szCs w:val="21"/>
                <w:u w:val="single"/>
              </w:rPr>
              <w:t>扫描件</w:t>
            </w:r>
            <w:r>
              <w:rPr>
                <w:rFonts w:hint="eastAsia" w:ascii="Times New Roman" w:hAnsi="Times New Roman"/>
                <w:szCs w:val="21"/>
                <w:u w:val="single"/>
              </w:rPr>
              <w:t>，提供签字、盖章后的</w:t>
            </w:r>
            <w:r>
              <w:rPr>
                <w:rFonts w:ascii="Times New Roman" w:hAnsi="Times New Roman"/>
                <w:szCs w:val="21"/>
                <w:u w:val="single"/>
              </w:rPr>
              <w:t>扫描件</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w:t>
            </w:r>
            <w:r>
              <w:rPr>
                <w:rFonts w:hint="eastAsia" w:ascii="Times New Roman" w:hAnsi="Times New Roman"/>
                <w:szCs w:val="21"/>
                <w:u w:val="single"/>
              </w:rPr>
              <w:t>Word</w:t>
            </w:r>
            <w:r>
              <w:rPr>
                <w:rFonts w:ascii="Times New Roman" w:hAnsi="Times New Roman"/>
                <w:szCs w:val="21"/>
              </w:rPr>
              <w:t>）。</w:t>
            </w:r>
          </w:p>
          <w:p>
            <w:pPr>
              <w:spacing w:line="400" w:lineRule="exact"/>
              <w:rPr>
                <w:rFonts w:ascii="Times New Roman" w:hAnsi="Times New Roman"/>
                <w:szCs w:val="21"/>
              </w:rPr>
            </w:pPr>
            <w:r>
              <w:rPr>
                <w:rFonts w:ascii="Times New Roman" w:hAnsi="Times New Roman"/>
                <w:szCs w:val="21"/>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30</w:t>
            </w:r>
          </w:p>
        </w:tc>
        <w:tc>
          <w:tcPr>
            <w:tcW w:w="1863"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代理费用</w:t>
            </w:r>
          </w:p>
        </w:tc>
        <w:tc>
          <w:tcPr>
            <w:tcW w:w="6179" w:type="dxa"/>
            <w:gridSpan w:val="2"/>
            <w:vAlign w:val="center"/>
          </w:tcPr>
          <w:p>
            <w:pPr>
              <w:spacing w:line="400" w:lineRule="exact"/>
            </w:pPr>
            <w:r>
              <w:t>代理费用：</w:t>
            </w:r>
          </w:p>
          <w:p>
            <w:pPr>
              <w:spacing w:line="400" w:lineRule="exact"/>
            </w:pPr>
            <w:r>
              <w:t>（1）本项目代理费用由中标人支付。</w:t>
            </w:r>
          </w:p>
          <w:p>
            <w:pPr>
              <w:spacing w:line="400" w:lineRule="exact"/>
            </w:pPr>
            <w:r>
              <w:t>（2）代理费用收取方式及标准：</w:t>
            </w:r>
          </w:p>
          <w:p>
            <w:pPr>
              <w:spacing w:line="400" w:lineRule="exact"/>
              <w:rPr>
                <w:rFonts w:hint="eastAsia"/>
              </w:rPr>
            </w:pPr>
            <w:r>
              <w:rPr>
                <w:rFonts w:hint="eastAsia"/>
              </w:rPr>
              <w:t>以各采购包的中标金额为基数，按差额定率累进法计算，向中标人收取，中标人应以转账或电汇等付款方式一次性向采购代理机构缴纳招标代理服务费。附：招标代理服务费收费标准：100(万元)以下部分按1.</w:t>
            </w:r>
            <w:r>
              <w:rPr>
                <w:rFonts w:hint="eastAsia"/>
                <w:lang w:val="en-US" w:eastAsia="zh-CN"/>
              </w:rPr>
              <w:t>5</w:t>
            </w:r>
            <w:r>
              <w:rPr>
                <w:rFonts w:hint="eastAsia"/>
              </w:rPr>
              <w:t>%，100(万元)-500(万元)部分按0.</w:t>
            </w:r>
            <w:r>
              <w:rPr>
                <w:rFonts w:hint="eastAsia"/>
                <w:lang w:val="en-US" w:eastAsia="zh-CN"/>
              </w:rPr>
              <w:t>8</w:t>
            </w:r>
            <w:r>
              <w:rPr>
                <w:rFonts w:hint="eastAsia"/>
              </w:rPr>
              <w:t>%，按差额定率累进法计算收取，超过6万元的按6万元收取。</w:t>
            </w:r>
          </w:p>
          <w:p>
            <w:pPr>
              <w:spacing w:line="400" w:lineRule="exact"/>
            </w:pPr>
            <w:r>
              <w:rPr>
                <w:rFonts w:hint="eastAsia"/>
              </w:rPr>
              <w:t>收款人开户名：福建省智信招标有限公司</w:t>
            </w:r>
          </w:p>
          <w:p>
            <w:pPr>
              <w:spacing w:line="400" w:lineRule="exact"/>
            </w:pPr>
            <w:r>
              <w:rPr>
                <w:rFonts w:hint="eastAsia"/>
              </w:rPr>
              <w:t>开   户   行：中国光大银行福州市杨桥支行</w:t>
            </w:r>
          </w:p>
          <w:p>
            <w:pPr>
              <w:spacing w:line="400" w:lineRule="exact"/>
            </w:pPr>
            <w:r>
              <w:rPr>
                <w:rFonts w:hint="eastAsia"/>
              </w:rPr>
              <w:t xml:space="preserve">账        号：087739120100304037933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topLinePunct/>
              <w:autoSpaceDE w:val="0"/>
              <w:autoSpaceDN w:val="0"/>
              <w:adjustRightInd w:val="0"/>
              <w:snapToGrid w:val="0"/>
              <w:spacing w:line="400" w:lineRule="exact"/>
              <w:jc w:val="center"/>
              <w:rPr>
                <w:rFonts w:ascii="Times New Roman" w:hAnsi="Times New Roman"/>
                <w:szCs w:val="21"/>
              </w:rPr>
            </w:pPr>
            <w:r>
              <w:rPr>
                <w:rFonts w:ascii="Times New Roman" w:hAnsi="Times New Roman"/>
                <w:szCs w:val="21"/>
              </w:rPr>
              <w:t>31</w:t>
            </w:r>
          </w:p>
        </w:tc>
        <w:tc>
          <w:tcPr>
            <w:tcW w:w="1863" w:type="dxa"/>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其他补充事项</w:t>
            </w:r>
          </w:p>
        </w:tc>
        <w:tc>
          <w:tcPr>
            <w:tcW w:w="6179" w:type="dxa"/>
            <w:gridSpan w:val="2"/>
            <w:vAlign w:val="center"/>
          </w:tcPr>
          <w:p>
            <w:pPr>
              <w:spacing w:line="360" w:lineRule="auto"/>
            </w:pPr>
            <w:r>
              <w:rPr>
                <w:rFonts w:hint="eastAsia"/>
              </w:rPr>
              <w:t>1.本项目为线下招标项目，招标文件中涉及“线上采购项目”等有关规定的，均不适用于本项目。（若有矛盾，以此为准。）</w:t>
            </w:r>
          </w:p>
          <w:p>
            <w:pPr>
              <w:spacing w:line="360" w:lineRule="auto"/>
            </w:pPr>
            <w:r>
              <w:rPr>
                <w:rFonts w:hint="eastAsia"/>
              </w:rPr>
              <w:t>2.特别提示：本表与招标文件对应章节的内容若不一致，以本表为准。</w:t>
            </w:r>
          </w:p>
        </w:tc>
      </w:tr>
    </w:tbl>
    <w:p/>
    <w:p>
      <w:pPr>
        <w:rPr>
          <w:rFonts w:ascii="Times New Roman" w:hAnsi="Times New Roman" w:eastAsia="黑体"/>
          <w:szCs w:val="21"/>
        </w:rPr>
      </w:pPr>
      <w:bookmarkStart w:id="13" w:name="_Toc132880274"/>
      <w:bookmarkStart w:id="14" w:name="_Toc3248"/>
      <w:r>
        <w:rPr>
          <w:rFonts w:ascii="Times New Roman" w:hAnsi="Times New Roman" w:eastAsia="黑体"/>
          <w:szCs w:val="21"/>
        </w:rPr>
        <w:br w:type="page"/>
      </w:r>
    </w:p>
    <w:p>
      <w:pPr>
        <w:spacing w:line="360" w:lineRule="auto"/>
        <w:ind w:firstLine="420" w:firstLineChars="200"/>
        <w:outlineLvl w:val="1"/>
        <w:rPr>
          <w:rFonts w:ascii="Times New Roman" w:hAnsi="Times New Roman" w:eastAsia="黑体"/>
          <w:szCs w:val="21"/>
        </w:rPr>
      </w:pPr>
      <w:r>
        <w:rPr>
          <w:rFonts w:ascii="Times New Roman" w:hAnsi="Times New Roman" w:eastAsia="黑体"/>
          <w:szCs w:val="21"/>
        </w:rPr>
        <w:t>一、总则</w:t>
      </w:r>
      <w:bookmarkEnd w:id="13"/>
      <w:bookmarkEnd w:id="14"/>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1.预算资金及来源</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1.1 本项目已经</w:t>
      </w:r>
      <w:r>
        <w:rPr>
          <w:rFonts w:hint="eastAsia" w:ascii="宋体" w:hAnsi="宋体"/>
          <w:szCs w:val="21"/>
        </w:rPr>
        <w:t>国家税务总局福建省税务局</w:t>
      </w:r>
      <w:r>
        <w:rPr>
          <w:rFonts w:ascii="Times New Roman" w:hAnsi="Times New Roman"/>
          <w:szCs w:val="21"/>
        </w:rPr>
        <w:t>批准立项。</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1.2 本项目预算资金见</w:t>
      </w:r>
      <w:r>
        <w:rPr>
          <w:rFonts w:ascii="Times New Roman" w:hAnsi="Times New Roman"/>
          <w:b/>
          <w:bCs/>
          <w:szCs w:val="21"/>
        </w:rPr>
        <w:t>投标人须知前附表</w:t>
      </w:r>
      <w:r>
        <w:rPr>
          <w:rFonts w:ascii="Times New Roman" w:hAnsi="Times New Roman"/>
          <w:szCs w:val="21"/>
        </w:rPr>
        <w:t>，已列入</w:t>
      </w:r>
      <w:r>
        <w:rPr>
          <w:rFonts w:hint="eastAsia" w:ascii="宋体" w:hAnsi="宋体"/>
          <w:szCs w:val="21"/>
        </w:rPr>
        <w:t>国家税务总局福建省税务局</w:t>
      </w:r>
      <w:r>
        <w:rPr>
          <w:rFonts w:ascii="Times New Roman" w:hAnsi="Times New Roman"/>
          <w:szCs w:val="21"/>
        </w:rPr>
        <w:t>预算。</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2.合格的产品和服务</w:t>
      </w:r>
    </w:p>
    <w:p>
      <w:pPr>
        <w:tabs>
          <w:tab w:val="left" w:pos="216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2.1 本项目所涉及的所有产品和服务均应来自中国境内（指关境内），合同金额的支付也仅限于这些产品和服务。</w:t>
      </w:r>
    </w:p>
    <w:p>
      <w:pPr>
        <w:tabs>
          <w:tab w:val="left" w:pos="216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2.2 合格的产品和服务即</w:t>
      </w:r>
      <w:r>
        <w:rPr>
          <w:rFonts w:ascii="Times New Roman" w:hAnsi="Times New Roman"/>
          <w:b/>
          <w:bCs/>
          <w:szCs w:val="21"/>
        </w:rPr>
        <w:t>采购需求</w:t>
      </w:r>
      <w:r>
        <w:rPr>
          <w:rFonts w:ascii="Times New Roman" w:hAnsi="Times New Roman"/>
          <w:szCs w:val="21"/>
        </w:rPr>
        <w:t>见</w:t>
      </w:r>
      <w:r>
        <w:rPr>
          <w:rFonts w:ascii="Times New Roman" w:hAnsi="Times New Roman"/>
          <w:b/>
          <w:szCs w:val="21"/>
        </w:rPr>
        <w:t>招标文件（技术部分）。</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2.3 投标人应保证所提供的产品及服务免受第三方提出侵犯其知识产权（专利权、商标权、工业设计权及使用权）的请求及起诉。</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3.合格的投标人</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3.1一般规定</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3.1.1投标人应遵守《政府采购法》及其实施条例、《政府采购货物和服务招标投标管理办法》、《政府采购质疑和投诉办法》及有关政府采购的规定，同时还应遵守有关法律、法规和规章的强制性规定。</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3.1.2投标人的资格要求及本项目的特定资格要求见</w:t>
      </w:r>
      <w:r>
        <w:rPr>
          <w:rFonts w:hint="default" w:ascii="Times New Roman" w:hAnsi="Times New Roman"/>
          <w:b/>
          <w:sz w:val="21"/>
          <w:szCs w:val="21"/>
        </w:rPr>
        <w:t>投标人须知前附表</w:t>
      </w:r>
      <w:r>
        <w:rPr>
          <w:rFonts w:hint="default" w:ascii="Times New Roman" w:hAnsi="Times New Roman"/>
          <w:sz w:val="21"/>
          <w:szCs w:val="21"/>
        </w:rPr>
        <w:t>。</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3.1.3资格条件中所称“重大违法记录”，是指投标人因违法经营受到刑事处罚或者责令停产停业、吊销许可证或者执照、较大数额罚款等行政处罚。</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投标人在参加政府采购活动前3年内因违法经营被禁止在一定期限内参加政府采购活动，期限届满的，可以参加政府采购活动。</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“较大数额罚款”认定为200万元以上的罚款，法律、行政法规以及国务院有关部门明确规定相关领域“较大数额罚款”标准高于200万元的，从其规定。</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3.1.4信用记录要求</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3.2联合体</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3.2.1若本项目接受联合体投标，则两个以上的自然人、法人或者其他组织可以组成一个联合体，以一个投标人的身份共同参加政府采购。</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3.2.2以联合体形式参加投标的，联合体各方应按第二章要求提供资格条件材料。</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3.2.3联合体中有同类资质的投标人按照联合体分工承担相同工作的，应当按照资质等级较低的投标人确定资质等级。</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3.2.4联合体应当提交联合协议，载明联合体各方承担的工作和义务。</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3.2.5联合体各方应当共同与采购人签订采购合同，就采购合同约定的事项对采购人承担连带责任。</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3.2.6以联合体形式参加政府采购活动的，联合体各方不得再单独参加或者与其他投标人另外组成联合体参加同一合同项下的政府采购活动。</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3.3禁止规定</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3.3.1单位负责人为同一人或者存在直接控股、管理关系的不同投标人，不得参加同一采购包的政府采购活动。否则投标均无效。</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3.3.2除单一来源采购项目外，为采购项目提供整体设计、规范编制或者项目管理、监理、检测等服务的供应商，不得再参加该采购项目的其他采购活动。否则投标无效。</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4.投标费用</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4.1 投标人应承担所有与编写、提交投标文件有关的费用，不论招标的结果如何，采购人在任何情况下均无义务和责任承担这些费用。</w:t>
      </w:r>
    </w:p>
    <w:p>
      <w:pPr>
        <w:spacing w:line="360" w:lineRule="auto"/>
        <w:ind w:firstLine="420" w:firstLineChars="200"/>
        <w:outlineLvl w:val="1"/>
        <w:rPr>
          <w:rFonts w:hint="eastAsia" w:ascii="黑体" w:hAnsi="黑体" w:eastAsia="黑体" w:cs="黑体"/>
        </w:rPr>
      </w:pPr>
      <w:bookmarkStart w:id="15" w:name="_Toc28466"/>
      <w:bookmarkStart w:id="16" w:name="_Toc132880275"/>
      <w:r>
        <w:rPr>
          <w:rFonts w:hint="eastAsia" w:ascii="黑体" w:hAnsi="黑体" w:eastAsia="黑体" w:cs="黑体"/>
        </w:rPr>
        <w:t>二、招标文件</w:t>
      </w:r>
      <w:bookmarkEnd w:id="15"/>
      <w:bookmarkEnd w:id="16"/>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5.招标文件构成</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第一部分 商务部分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（1）招标公告</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（2）投标人须知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（3）评标方法及标准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（4）政府采购合同文本</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（5）投标文件格式</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第二部分 技术部分</w:t>
      </w:r>
    </w:p>
    <w:p>
      <w:pPr>
        <w:topLinePunct/>
        <w:autoSpaceDE w:val="0"/>
        <w:autoSpaceDN w:val="0"/>
        <w:adjustRightInd w:val="0"/>
        <w:snapToGrid w:val="0"/>
        <w:spacing w:line="360" w:lineRule="auto"/>
        <w:ind w:firstLine="413" w:firstLineChars="196"/>
        <w:rPr>
          <w:rFonts w:ascii="Times New Roman" w:hAnsi="Times New Roman"/>
          <w:b/>
          <w:szCs w:val="21"/>
        </w:rPr>
      </w:pPr>
      <w:r>
        <w:rPr>
          <w:rFonts w:ascii="Times New Roman" w:hAnsi="Times New Roman"/>
          <w:b/>
          <w:szCs w:val="21"/>
        </w:rPr>
        <w:t>6.招标文件询问、澄清或修改</w:t>
      </w:r>
    </w:p>
    <w:p>
      <w:pPr>
        <w:widowControl/>
        <w:topLinePunct/>
        <w:autoSpaceDE w:val="0"/>
        <w:autoSpaceDN w:val="0"/>
        <w:adjustRightInd w:val="0"/>
        <w:snapToGrid w:val="0"/>
        <w:spacing w:line="360" w:lineRule="auto"/>
        <w:ind w:firstLine="420" w:firstLineChars="200"/>
        <w:jc w:val="left"/>
        <w:rPr>
          <w:rFonts w:ascii="Times New Roman" w:hAnsi="Times New Roman"/>
          <w:b/>
          <w:szCs w:val="21"/>
        </w:rPr>
      </w:pPr>
      <w:r>
        <w:rPr>
          <w:rFonts w:ascii="Times New Roman" w:hAnsi="Times New Roman"/>
          <w:szCs w:val="21"/>
        </w:rPr>
        <w:t>6.1 投标人对招标文件如有疑问的，可以向采购人或者采购代理机构提出询问，采购人或者采购代理机构应当在3个工作日内作出答复</w:t>
      </w:r>
      <w:r>
        <w:rPr>
          <w:rFonts w:ascii="Times New Roman" w:hAnsi="Times New Roman"/>
          <w:bCs/>
          <w:szCs w:val="21"/>
        </w:rPr>
        <w:t>，但答复的内容不得涉及商业秘密。</w:t>
      </w:r>
      <w:r>
        <w:rPr>
          <w:rFonts w:ascii="Times New Roman" w:hAnsi="Times New Roman"/>
          <w:szCs w:val="21"/>
        </w:rPr>
        <w:t>如有必要，采购人或者采购代理机构可对招标文件进行澄清或者修改。</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6.2 采购人或者采购代理机构可主动对招标文件进行必要的澄清或者修改，但不得改变采购标的和资格条件。</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6.3 澄清或者修改应当在原公告发布媒体上发布澄清公告，线上采购项目还应通过国家税务总局政府采购评审管理系统（以下简称“评审管理系统”）通知所有获取招标文件的潜在投标人。</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6.5 澄清或者修改的内容为招标文件的组成部分。</w:t>
      </w:r>
    </w:p>
    <w:p>
      <w:pPr>
        <w:spacing w:line="360" w:lineRule="auto"/>
        <w:ind w:firstLine="420" w:firstLineChars="200"/>
        <w:outlineLvl w:val="1"/>
        <w:rPr>
          <w:rFonts w:hint="eastAsia" w:ascii="黑体" w:hAnsi="黑体" w:eastAsia="黑体" w:cs="黑体"/>
        </w:rPr>
      </w:pPr>
      <w:bookmarkStart w:id="17" w:name="_Toc132880276"/>
      <w:bookmarkStart w:id="18" w:name="_Toc21166"/>
      <w:r>
        <w:rPr>
          <w:rFonts w:hint="eastAsia" w:ascii="黑体" w:hAnsi="黑体" w:eastAsia="黑体" w:cs="黑体"/>
        </w:rPr>
        <w:t>三、投标文件</w:t>
      </w:r>
      <w:bookmarkEnd w:id="17"/>
      <w:bookmarkEnd w:id="18"/>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7</w:t>
      </w:r>
      <w:r>
        <w:rPr>
          <w:rFonts w:ascii="Times New Roman" w:hAnsi="Times New Roman"/>
          <w:szCs w:val="21"/>
        </w:rPr>
        <w:t>．</w:t>
      </w:r>
      <w:r>
        <w:rPr>
          <w:rFonts w:ascii="Times New Roman" w:hAnsi="Times New Roman"/>
          <w:b/>
          <w:szCs w:val="21"/>
        </w:rPr>
        <w:t>投标文件编制</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7.1投标文件的编制</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7.1.1投标人应先仔细阅读招标文件的全部内容后，再进行投标文件的编制。</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7.1.2投标文件应满足招标文件提出的实质性要求和条件，并保证其所提交的全部资料是不可割离且真实、有效、准确、完整和不具有任何误导性的，否则造成不利后果由投标人承担责任。</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7.2投标文件的语言</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7.2.1除招标文件另有规定外，投标文件应使用中文文本并使用中文简化字，若有不同文本，以中文简化字文本为准。</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7.2.2投标文件提供的全部资料中，若属于非中文描述的，应同时提供中文简化字译本。</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7.2.3除在招标文件的要求中另有规定外，投标文件计量单位应使用中华人民共和国法定计量单位。</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8.投标文件的组成</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8.1 投标文件包括商务部分和技术部分。</w:t>
      </w:r>
    </w:p>
    <w:p>
      <w:pPr>
        <w:topLinePunct/>
        <w:autoSpaceDE w:val="0"/>
        <w:autoSpaceDN w:val="0"/>
        <w:adjustRightInd w:val="0"/>
        <w:snapToGrid w:val="0"/>
        <w:spacing w:line="360" w:lineRule="auto"/>
        <w:ind w:firstLine="428" w:firstLineChars="204"/>
        <w:rPr>
          <w:rFonts w:ascii="Times New Roman" w:hAnsi="Times New Roman"/>
          <w:szCs w:val="21"/>
        </w:rPr>
      </w:pPr>
      <w:r>
        <w:rPr>
          <w:rFonts w:ascii="Times New Roman" w:hAnsi="Times New Roman"/>
          <w:szCs w:val="21"/>
        </w:rPr>
        <w:t>8.2 投标文件</w:t>
      </w:r>
      <w:r>
        <w:rPr>
          <w:rFonts w:ascii="Times New Roman" w:hAnsi="Times New Roman"/>
          <w:b/>
          <w:bCs/>
          <w:szCs w:val="21"/>
        </w:rPr>
        <w:t>商务部分</w:t>
      </w:r>
      <w:r>
        <w:rPr>
          <w:rFonts w:ascii="Times New Roman" w:hAnsi="Times New Roman"/>
          <w:szCs w:val="21"/>
        </w:rPr>
        <w:t>主要包括的文件和资料：</w:t>
      </w:r>
    </w:p>
    <w:p>
      <w:pPr>
        <w:topLinePunct/>
        <w:autoSpaceDE w:val="0"/>
        <w:autoSpaceDN w:val="0"/>
        <w:adjustRightInd w:val="0"/>
        <w:snapToGrid w:val="0"/>
        <w:spacing w:line="360" w:lineRule="auto"/>
        <w:ind w:firstLine="428" w:firstLineChars="204"/>
        <w:rPr>
          <w:rFonts w:ascii="Times New Roman" w:hAnsi="Times New Roman"/>
          <w:szCs w:val="21"/>
        </w:rPr>
      </w:pPr>
      <w:r>
        <w:rPr>
          <w:rFonts w:ascii="Times New Roman" w:hAnsi="Times New Roman"/>
          <w:szCs w:val="21"/>
        </w:rPr>
        <w:t>8.2.1 资格证明文件，见</w:t>
      </w:r>
      <w:r>
        <w:rPr>
          <w:rFonts w:ascii="Times New Roman" w:hAnsi="Times New Roman"/>
          <w:b/>
          <w:szCs w:val="21"/>
        </w:rPr>
        <w:t>投标人须知前附表。</w:t>
      </w:r>
    </w:p>
    <w:p>
      <w:pPr>
        <w:overflowPunct w:val="0"/>
        <w:autoSpaceDE w:val="0"/>
        <w:autoSpaceDN w:val="0"/>
        <w:adjustRightInd w:val="0"/>
        <w:snapToGrid w:val="0"/>
        <w:spacing w:line="360" w:lineRule="auto"/>
        <w:ind w:firstLine="426" w:firstLineChars="203"/>
        <w:rPr>
          <w:rFonts w:ascii="Times New Roman" w:hAnsi="Times New Roman"/>
          <w:szCs w:val="21"/>
        </w:rPr>
      </w:pPr>
      <w:r>
        <w:rPr>
          <w:rFonts w:ascii="Times New Roman" w:hAnsi="Times New Roman"/>
          <w:szCs w:val="21"/>
        </w:rPr>
        <w:t>8.2.2 其他文件及资料，见</w:t>
      </w:r>
      <w:r>
        <w:rPr>
          <w:rFonts w:ascii="Times New Roman" w:hAnsi="Times New Roman"/>
          <w:b/>
          <w:szCs w:val="21"/>
        </w:rPr>
        <w:t>投标人须知前附表。</w:t>
      </w:r>
    </w:p>
    <w:p>
      <w:pPr>
        <w:overflowPunct w:val="0"/>
        <w:autoSpaceDE w:val="0"/>
        <w:autoSpaceDN w:val="0"/>
        <w:adjustRightInd w:val="0"/>
        <w:snapToGrid w:val="0"/>
        <w:spacing w:line="360" w:lineRule="auto"/>
        <w:ind w:firstLine="426" w:firstLineChars="203"/>
        <w:rPr>
          <w:rFonts w:ascii="Times New Roman" w:hAnsi="Times New Roman"/>
          <w:szCs w:val="21"/>
        </w:rPr>
      </w:pPr>
      <w:r>
        <w:rPr>
          <w:rFonts w:ascii="Times New Roman" w:hAnsi="Times New Roman"/>
          <w:szCs w:val="21"/>
        </w:rPr>
        <w:t>8.3 投标文件</w:t>
      </w:r>
      <w:r>
        <w:rPr>
          <w:rFonts w:ascii="Times New Roman" w:hAnsi="Times New Roman"/>
          <w:b/>
          <w:bCs/>
          <w:szCs w:val="21"/>
        </w:rPr>
        <w:t>技术部分</w:t>
      </w:r>
      <w:r>
        <w:rPr>
          <w:rFonts w:ascii="Times New Roman" w:hAnsi="Times New Roman"/>
          <w:szCs w:val="21"/>
        </w:rPr>
        <w:t>主要包括的文件及资料，见</w:t>
      </w:r>
      <w:r>
        <w:rPr>
          <w:rFonts w:ascii="Times New Roman" w:hAnsi="Times New Roman"/>
          <w:b/>
          <w:szCs w:val="21"/>
        </w:rPr>
        <w:t>投标人须知前附表。</w:t>
      </w:r>
    </w:p>
    <w:p>
      <w:pPr>
        <w:overflowPunct w:val="0"/>
        <w:autoSpaceDE w:val="0"/>
        <w:autoSpaceDN w:val="0"/>
        <w:adjustRightInd w:val="0"/>
        <w:snapToGrid w:val="0"/>
        <w:spacing w:line="360" w:lineRule="auto"/>
        <w:ind w:firstLine="426" w:firstLineChars="203"/>
        <w:rPr>
          <w:rFonts w:ascii="Times New Roman" w:hAnsi="Times New Roman"/>
          <w:szCs w:val="21"/>
        </w:rPr>
      </w:pPr>
      <w:r>
        <w:rPr>
          <w:rFonts w:ascii="Times New Roman" w:hAnsi="Times New Roman"/>
          <w:szCs w:val="21"/>
        </w:rPr>
        <w:t>8.4 证明资料如标明有效期的，必须在有效期内。</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9.报价要求</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9.1 除招标文件另有规定外，投标应以人民币报价，线上采购项目还须按照投标工具的流程和提示编制并上传投标报价表。</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9.2 本项目不接受任何形式的赠送、“零”报价和折扣报价。</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9.3 本项目以投标报价为依据计算价格分。投标报价应包括招标文件中要求投标人承担所有工作内容的全部费用。</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9.5 最低报价不能作为中标的保证。</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10.投标文件的书写、密封、签署、盖章</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10.1书写</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10.1.1投标文件应使用不能擦去的墨料或墨水打印、书写。</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10.1.2投标文件内容应没有涂改或行间插字。若有前述改动，在改动处应由单位负责人（投标人代表）签字确认或加盖投标人的单位公章或校正章。</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10.2密封</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10.2.1投标文件应胶装或装订成册，避免材料散装、脱落。</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10.3签署、盖章</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10.3.1投标文件中要求签字处应由投标人的单位负责人（投标人代表）签字或加盖个人印章。</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10.3.2投标文件必须按照招标文件给出文件格式的签署要求进行签署。</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10.3.3投标人在</w:t>
      </w:r>
      <w:r>
        <w:rPr>
          <w:rFonts w:ascii="Times New Roman" w:hAnsi="Times New Roman"/>
          <w:b/>
          <w:bCs/>
          <w:szCs w:val="21"/>
        </w:rPr>
        <w:t>“投标函”“法定代表人授权委托书”</w:t>
      </w:r>
      <w:r>
        <w:rPr>
          <w:rFonts w:ascii="Times New Roman" w:hAnsi="Times New Roman"/>
          <w:szCs w:val="21"/>
        </w:rPr>
        <w:t>上应当按格式要求加盖与投标人名称全称一致的标准公章，并按照招标文件第五章投标文件格式中的相应格式文件要求签署全名或加盖名章。</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10.3.4投标文件中的“盖章”指加盖投标人的“公章”，而非“合同专用章”、“投标专用章”等其他非公章。</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10.3.5线上采购项目可以使用电子签章。</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11</w:t>
      </w:r>
      <w:r>
        <w:rPr>
          <w:rFonts w:ascii="Times New Roman" w:hAnsi="Times New Roman"/>
          <w:szCs w:val="21"/>
        </w:rPr>
        <w:t>．</w:t>
      </w:r>
      <w:r>
        <w:rPr>
          <w:rFonts w:ascii="Times New Roman" w:hAnsi="Times New Roman"/>
          <w:b/>
          <w:szCs w:val="21"/>
        </w:rPr>
        <w:t>投标有效期</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11.1 投标有效期见</w:t>
      </w:r>
      <w:r>
        <w:rPr>
          <w:rFonts w:ascii="Times New Roman" w:hAnsi="Times New Roman"/>
          <w:b/>
          <w:szCs w:val="21"/>
        </w:rPr>
        <w:t>投标人须知前附表</w:t>
      </w:r>
      <w:r>
        <w:rPr>
          <w:rFonts w:ascii="Times New Roman" w:hAnsi="Times New Roman"/>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11.2 特殊情况下，在原投标有效期期满之前，采购人或者采购代理机构可征得投标人同意延长投标有效期。</w:t>
      </w:r>
    </w:p>
    <w:p>
      <w:pPr>
        <w:spacing w:line="360" w:lineRule="auto"/>
        <w:ind w:firstLine="420" w:firstLineChars="200"/>
        <w:outlineLvl w:val="1"/>
        <w:rPr>
          <w:rFonts w:hint="eastAsia" w:ascii="黑体" w:hAnsi="黑体" w:eastAsia="黑体" w:cs="黑体"/>
        </w:rPr>
      </w:pPr>
      <w:bookmarkStart w:id="19" w:name="_Toc132880277"/>
      <w:bookmarkStart w:id="20" w:name="_Toc27998"/>
      <w:r>
        <w:rPr>
          <w:rFonts w:hint="eastAsia" w:ascii="黑体" w:hAnsi="黑体" w:eastAsia="黑体" w:cs="黑体"/>
        </w:rPr>
        <w:t>四、投标文件递交</w:t>
      </w:r>
      <w:bookmarkEnd w:id="19"/>
      <w:bookmarkEnd w:id="20"/>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12</w:t>
      </w:r>
      <w:r>
        <w:rPr>
          <w:rFonts w:ascii="Times New Roman" w:hAnsi="Times New Roman"/>
          <w:szCs w:val="21"/>
        </w:rPr>
        <w:t>．</w:t>
      </w:r>
      <w:r>
        <w:rPr>
          <w:rFonts w:ascii="Times New Roman" w:hAnsi="Times New Roman"/>
          <w:b/>
          <w:szCs w:val="21"/>
        </w:rPr>
        <w:t>投标文件递交</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12.1 投标人应当在</w:t>
      </w:r>
      <w:r>
        <w:rPr>
          <w:rFonts w:ascii="Times New Roman" w:hAnsi="Times New Roman"/>
          <w:b/>
          <w:szCs w:val="21"/>
        </w:rPr>
        <w:t>投标人须知前附表</w:t>
      </w:r>
      <w:r>
        <w:rPr>
          <w:rFonts w:ascii="Times New Roman" w:hAnsi="Times New Roman"/>
          <w:szCs w:val="21"/>
        </w:rPr>
        <w:t>要求提交投标文件截止时间前，根据《投标人须知前附表》载明方式提交投标文件。提交投标文件截止时间后，递交投标文件的投标将被拒绝。</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13</w:t>
      </w:r>
      <w:r>
        <w:rPr>
          <w:rFonts w:ascii="Times New Roman" w:hAnsi="Times New Roman"/>
          <w:szCs w:val="21"/>
        </w:rPr>
        <w:t>．</w:t>
      </w:r>
      <w:r>
        <w:rPr>
          <w:rFonts w:ascii="Times New Roman" w:hAnsi="Times New Roman"/>
          <w:b/>
          <w:szCs w:val="21"/>
        </w:rPr>
        <w:t>投标文件补充、修改或撤回</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13.1 投标人在投标截止时间前，可以对所递交的投标文件进行补充、修改或者撤回，并书面通知采购人或者采购代理机构。补充、修改的内容应当按照招标文件要求签署、盖章、密封后，作为投标文件的组成部分。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13.2 线上采购项目，投标人在投标截止时间前，可以登录评审管理系统对所提交的投标文件进行撤回、补充、修改、重新提交。补充、修改的内容应当按照招标文件要求签署、盖章。</w:t>
      </w:r>
    </w:p>
    <w:p>
      <w:pPr>
        <w:widowControl/>
        <w:topLinePunct/>
        <w:autoSpaceDE w:val="0"/>
        <w:autoSpaceDN w:val="0"/>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13.3 提交投标文件截止时间后，不支持对已提交的投标文件作任何补充、修改或者撤回。</w:t>
      </w:r>
    </w:p>
    <w:p>
      <w:pPr>
        <w:spacing w:line="360" w:lineRule="auto"/>
        <w:ind w:firstLine="420" w:firstLineChars="200"/>
        <w:outlineLvl w:val="1"/>
        <w:rPr>
          <w:rFonts w:hint="eastAsia" w:ascii="黑体" w:hAnsi="黑体" w:eastAsia="黑体" w:cs="黑体"/>
        </w:rPr>
      </w:pPr>
      <w:bookmarkStart w:id="21" w:name="_Toc23378"/>
      <w:bookmarkStart w:id="22" w:name="_Toc132880278"/>
      <w:r>
        <w:rPr>
          <w:rFonts w:hint="eastAsia" w:ascii="黑体" w:hAnsi="黑体" w:eastAsia="黑体" w:cs="黑体"/>
        </w:rPr>
        <w:t>五、开标与评标</w:t>
      </w:r>
      <w:bookmarkEnd w:id="21"/>
      <w:bookmarkEnd w:id="22"/>
    </w:p>
    <w:p>
      <w:pPr>
        <w:topLinePunct/>
        <w:autoSpaceDE w:val="0"/>
        <w:autoSpaceDN w:val="0"/>
        <w:adjustRightInd w:val="0"/>
        <w:snapToGrid w:val="0"/>
        <w:spacing w:line="360" w:lineRule="auto"/>
        <w:ind w:firstLine="422" w:firstLineChars="200"/>
        <w:rPr>
          <w:rFonts w:ascii="Times New Roman" w:hAnsi="Times New Roman"/>
          <w:szCs w:val="21"/>
        </w:rPr>
      </w:pPr>
      <w:r>
        <w:rPr>
          <w:rFonts w:ascii="Times New Roman" w:hAnsi="Times New Roman"/>
          <w:b/>
          <w:szCs w:val="21"/>
        </w:rPr>
        <w:t>14</w:t>
      </w:r>
      <w:r>
        <w:rPr>
          <w:rFonts w:ascii="Times New Roman" w:hAnsi="Times New Roman"/>
          <w:szCs w:val="21"/>
        </w:rPr>
        <w:t>．</w:t>
      </w:r>
      <w:r>
        <w:rPr>
          <w:rFonts w:ascii="Times New Roman" w:hAnsi="Times New Roman"/>
          <w:b/>
          <w:szCs w:val="21"/>
        </w:rPr>
        <w:t>开标</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14.1 开标在招标文件确定的提交投标文件截止时间的同一时间进行。开标地点详见</w:t>
      </w:r>
      <w:r>
        <w:rPr>
          <w:rFonts w:ascii="Times New Roman" w:hAnsi="Times New Roman"/>
          <w:b/>
          <w:szCs w:val="21"/>
        </w:rPr>
        <w:t>投标人须知前附表</w:t>
      </w:r>
      <w:r>
        <w:rPr>
          <w:rFonts w:ascii="Times New Roman" w:hAnsi="Times New Roman"/>
          <w:szCs w:val="21"/>
        </w:rPr>
        <w:t>。</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14.2 开标由采购人或者采购代理机构主持，邀请投标人参加。评标委员会成员不得参加开标活动。</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14.4 开标过程由采购人或者采购代理机构负责记录，由参加开标的各投标人代表和相关工作人员签字确认后随采购文件一并存档。投标人未参加开标的，视同认可开标结果。</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14.6 在政府采购活动中，采购人员及相关人员与投标人有下列利害关系之一的，应当回避：</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（1）参加采购活动前3年内与投标人存在劳动关系；</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（2）参加采购活动前3年内担任投标人的董事、监事；</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（3）参加采购活动前3年内是投标人的控股股东或者实际控制人；</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（4）与投标人的法定代表人或者负责人有夫妻、直系血亲、三代以内旁系血亲或者近姻亲关系；</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（5）与投标人有其他可能影响政府采购活动公平、公正进行的关系。</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14.7 对线上采购项目，采购人或者采购代理机构将在</w:t>
      </w:r>
      <w:r>
        <w:rPr>
          <w:rFonts w:ascii="Times New Roman" w:hAnsi="Times New Roman"/>
          <w:b/>
          <w:szCs w:val="21"/>
        </w:rPr>
        <w:t>投标人须知前附表</w:t>
      </w:r>
      <w:r>
        <w:rPr>
          <w:rFonts w:ascii="Times New Roman" w:hAnsi="Times New Roman"/>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15</w:t>
      </w:r>
      <w:r>
        <w:rPr>
          <w:rFonts w:ascii="Times New Roman" w:hAnsi="Times New Roman"/>
          <w:szCs w:val="21"/>
        </w:rPr>
        <w:t>．</w:t>
      </w:r>
      <w:r>
        <w:rPr>
          <w:rFonts w:ascii="Times New Roman" w:hAnsi="Times New Roman"/>
          <w:b/>
          <w:szCs w:val="21"/>
        </w:rPr>
        <w:t>投标资格审查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15.1 公开招标采购项目开标结束后，由采购人或者采购代理机构依法对投标人的资格进行审查，以确定投标人是否具备投标资格。</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15.1.1 审查投标人按照8.2.1提交的</w:t>
      </w:r>
      <w:r>
        <w:rPr>
          <w:rFonts w:ascii="Times New Roman" w:hAnsi="Times New Roman"/>
          <w:b/>
          <w:szCs w:val="21"/>
        </w:rPr>
        <w:t>“资格证明文件”</w:t>
      </w:r>
      <w:r>
        <w:rPr>
          <w:rFonts w:ascii="Times New Roman" w:hAnsi="Times New Roman"/>
          <w:szCs w:val="21"/>
        </w:rPr>
        <w:t>。</w:t>
      </w:r>
    </w:p>
    <w:p>
      <w:pPr>
        <w:topLinePunct/>
        <w:autoSpaceDE w:val="0"/>
        <w:autoSpaceDN w:val="0"/>
        <w:adjustRightInd w:val="0"/>
        <w:snapToGrid w:val="0"/>
        <w:spacing w:line="360" w:lineRule="auto"/>
        <w:ind w:firstLine="420" w:firstLineChars="200"/>
        <w:rPr>
          <w:rFonts w:ascii="Times New Roman" w:hAnsi="Times New Roman"/>
          <w:b/>
          <w:bCs/>
          <w:szCs w:val="21"/>
        </w:rPr>
      </w:pPr>
      <w:r>
        <w:rPr>
          <w:rFonts w:ascii="Times New Roman" w:hAnsi="Times New Roman"/>
          <w:szCs w:val="21"/>
        </w:rPr>
        <w:t>15.1.2 信用记录审查。</w:t>
      </w:r>
      <w:r>
        <w:rPr>
          <w:rFonts w:ascii="Times New Roman" w:hAnsi="Times New Roman"/>
          <w:b/>
          <w:bCs/>
          <w:szCs w:val="21"/>
        </w:rPr>
        <w:t>见投标人须知前附表。</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15.2 未通过资格审查的投标人，其投标无效。</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15.3 合格投标人不足3家的，不得评标。</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16</w:t>
      </w:r>
      <w:r>
        <w:rPr>
          <w:rFonts w:ascii="Times New Roman" w:hAnsi="Times New Roman"/>
          <w:szCs w:val="21"/>
        </w:rPr>
        <w:t>．</w:t>
      </w:r>
      <w:r>
        <w:rPr>
          <w:rFonts w:ascii="Times New Roman" w:hAnsi="Times New Roman"/>
          <w:b/>
          <w:szCs w:val="21"/>
        </w:rPr>
        <w:t>评标委员会的组成</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16.1 采购人或者采购代理机构根据有关法律法规规定组建评标委员会，评标委员会由采购人代表和评审专家组成。</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17</w:t>
      </w:r>
      <w:r>
        <w:rPr>
          <w:rFonts w:ascii="Times New Roman" w:hAnsi="Times New Roman"/>
          <w:szCs w:val="21"/>
        </w:rPr>
        <w:t>．</w:t>
      </w:r>
      <w:r>
        <w:rPr>
          <w:rFonts w:ascii="Times New Roman" w:hAnsi="Times New Roman"/>
          <w:b/>
          <w:szCs w:val="21"/>
        </w:rPr>
        <w:t>投标符合性审查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17.1 评标委员会对符合资格的投标人的投标文件进行符合性审查，以确定其是否符合招标文件的商务、技术等实质性要求。</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17.2 未通过符合性审查的投标人，其投标无效。</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17.3 通过符合性审查的投标人不足3家的，应予以废标。</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18</w:t>
      </w:r>
      <w:r>
        <w:rPr>
          <w:rFonts w:ascii="Times New Roman" w:hAnsi="Times New Roman"/>
          <w:szCs w:val="21"/>
        </w:rPr>
        <w:t>．</w:t>
      </w:r>
      <w:r>
        <w:rPr>
          <w:rFonts w:ascii="Times New Roman" w:hAnsi="Times New Roman"/>
          <w:b/>
          <w:szCs w:val="21"/>
        </w:rPr>
        <w:t>投标文件的澄清</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18.1对于投标文件中含义不明确、同类问题表述不一致或者有明显文字和计算错误的内容，评标委员会应当以书面形式要求投标人作出必要的澄清、说明或者补正。</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18.3关于投标描述（即投标文件中描述的内容）</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（1）投标描述前后不一致且不涉及证明材料的：按照本节第18.1条规定执行。</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（2）投标描述与证明材料不一致或多份证明材料之间不一致的：</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①评标委员会将要求投标人进行书面澄清，无法澄清的将按照不利于投标人的内容进行评标。</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31"/>
        <w:widowControl w:val="0"/>
        <w:spacing w:line="360" w:lineRule="auto"/>
        <w:ind w:firstLine="420" w:firstLineChars="200"/>
        <w:rPr>
          <w:rFonts w:hint="default" w:ascii="Times New Roman" w:hAnsi="Times New Roman"/>
          <w:sz w:val="21"/>
          <w:szCs w:val="21"/>
        </w:rPr>
      </w:pPr>
      <w:r>
        <w:rPr>
          <w:rFonts w:hint="default" w:ascii="Times New Roman" w:hAnsi="Times New Roman"/>
          <w:sz w:val="21"/>
          <w:szCs w:val="21"/>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18.4 除评标委员会要求投标人做出的澄清、说明或者补正以外，评标委员会不接受投标人的任何询问、说明、更改及文件。</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18.5 投标人的澄清必须在规定的时间内提交。</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19</w:t>
      </w:r>
      <w:r>
        <w:rPr>
          <w:rFonts w:ascii="Times New Roman" w:hAnsi="Times New Roman"/>
          <w:szCs w:val="21"/>
        </w:rPr>
        <w:t>．</w:t>
      </w:r>
      <w:r>
        <w:rPr>
          <w:rFonts w:ascii="Times New Roman" w:hAnsi="Times New Roman"/>
          <w:b/>
          <w:szCs w:val="21"/>
        </w:rPr>
        <w:t>核价原则</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bCs/>
          <w:szCs w:val="21"/>
        </w:rPr>
        <w:t xml:space="preserve">19.1 </w:t>
      </w:r>
      <w:r>
        <w:rPr>
          <w:rFonts w:ascii="Times New Roman" w:hAnsi="Times New Roman"/>
          <w:szCs w:val="21"/>
        </w:rPr>
        <w:t>投标文件报价出现前后不一致的，除招标文件另有规定外，按照下列规定修正：</w:t>
      </w:r>
    </w:p>
    <w:p>
      <w:pPr>
        <w:overflowPunct w:val="0"/>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（1）投标文件中开标一览表（总报价表）内容与投标文件中相应内容不一致的，以开标一览表（总报价表）为准；</w:t>
      </w:r>
    </w:p>
    <w:p>
      <w:pPr>
        <w:overflowPunct w:val="0"/>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（2）大写金额和小写金额不一致的，以大写金额为准；</w:t>
      </w:r>
    </w:p>
    <w:p>
      <w:pPr>
        <w:overflowPunct w:val="0"/>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（3）单价金额小数点或者百分比有明显错位的，以开标一览表的总价为准，并修改单价；</w:t>
      </w:r>
    </w:p>
    <w:p>
      <w:pPr>
        <w:overflowPunct w:val="0"/>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（4）总价金额与按单价汇总金额不一致的，以单价金额计算结果为准。</w:t>
      </w:r>
    </w:p>
    <w:p>
      <w:pPr>
        <w:overflowPunct w:val="0"/>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（5）同时出现两种以上不一致的，按照前款规定的顺序修正。修正后的报价按照18.2条的规定经投标人确认后产生约束力，投标人不确认的，其投标无效。</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20</w:t>
      </w:r>
      <w:r>
        <w:rPr>
          <w:rFonts w:ascii="Times New Roman" w:hAnsi="Times New Roman"/>
          <w:szCs w:val="21"/>
        </w:rPr>
        <w:t>．</w:t>
      </w:r>
      <w:r>
        <w:rPr>
          <w:rFonts w:ascii="Times New Roman" w:hAnsi="Times New Roman"/>
          <w:b/>
          <w:szCs w:val="21"/>
        </w:rPr>
        <w:t>投标无效</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20.1 投标人及投标文件有下列情况之一的，应当在资格审查时按照投标无效处理：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 不具备招标文件中规定的资格要求的；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 投标文件组成中“资格证明文件”未提供或无效的；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 未通过信用记录审查或未提供相关证明材料的。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20.2 投标人及投标文件有下列情况之一的，应当在符合性审查时按照投标无效处理：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 投标文件组成中除“资格证明文件”外，★条款相关文件及资料未提供或提供无效的；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 投标文件未按招标文件要求签署、盖章的；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 投标报价超过招标文件中规定的预算金额或者最高限价的；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 投标有效期不足的；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（5） 投标文件含有采购人不能接受的附加条件的；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20.3 除20.1及20.2情形外，投标人及投标文件有下列情况之一的，应当按照投标无效处理：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 提供虚假投标文件材料的；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 投标人串通投标的；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 投标报价明显低于其他通过符合性审查投标人的报价，且不能证明其报价合理性的。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 法律、法规和招标文件规定的其他无效情形。</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21</w:t>
      </w:r>
      <w:r>
        <w:rPr>
          <w:rFonts w:ascii="Times New Roman" w:hAnsi="Times New Roman"/>
          <w:szCs w:val="21"/>
        </w:rPr>
        <w:t>．</w:t>
      </w:r>
      <w:r>
        <w:rPr>
          <w:rFonts w:ascii="Times New Roman" w:hAnsi="Times New Roman"/>
          <w:b/>
          <w:szCs w:val="21"/>
        </w:rPr>
        <w:t>比较与评价</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21.1 评标委员会按照招标文件中规定的评标方法和标准，对符合性审查合格的投标文件进行商务和技术评估，综合比较与评价。</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21.2 价格分应当采用低价优先法计算。小型、微型企业和监狱企业、残疾人福利性单位的投标报价按照</w:t>
      </w:r>
      <w:r>
        <w:rPr>
          <w:rFonts w:ascii="Times New Roman" w:hAnsi="Times New Roman"/>
          <w:b/>
          <w:szCs w:val="21"/>
        </w:rPr>
        <w:t>投标人须知前附表</w:t>
      </w:r>
      <w:r>
        <w:rPr>
          <w:rFonts w:ascii="Times New Roman" w:hAnsi="Times New Roman"/>
          <w:szCs w:val="21"/>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21.3 评标委员会各成员独立对每个投标人的投标文件进行评价，并汇总得出每个投标人的评审得分。</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adjustRightInd w:val="0"/>
        <w:snapToGrid w:val="0"/>
        <w:spacing w:line="360" w:lineRule="auto"/>
        <w:ind w:firstLine="420" w:firstLineChars="200"/>
        <w:rPr>
          <w:rFonts w:ascii="Times New Roman" w:hAnsi="Times New Roman"/>
          <w:b/>
          <w:szCs w:val="21"/>
        </w:rPr>
      </w:pPr>
      <w:r>
        <w:rPr>
          <w:rFonts w:ascii="Times New Roman" w:hAnsi="Times New Roman"/>
          <w:szCs w:val="21"/>
        </w:rPr>
        <w:t>21.5 评标方法及标准</w:t>
      </w:r>
      <w:r>
        <w:rPr>
          <w:rFonts w:ascii="Times New Roman" w:hAnsi="Times New Roman"/>
          <w:b/>
          <w:szCs w:val="21"/>
        </w:rPr>
        <w:t>详见招标文件商务部分第三章。</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22</w:t>
      </w:r>
      <w:r>
        <w:rPr>
          <w:rFonts w:ascii="Times New Roman" w:hAnsi="Times New Roman"/>
          <w:szCs w:val="21"/>
        </w:rPr>
        <w:t>．</w:t>
      </w:r>
      <w:r>
        <w:rPr>
          <w:rFonts w:ascii="Times New Roman" w:hAnsi="Times New Roman"/>
          <w:b/>
          <w:szCs w:val="21"/>
        </w:rPr>
        <w:t>废标</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22.1 在招标采购中，出现下列情形之一的，应予废标：</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（1）符合专业条件的供应商或者对招标文件作实质响应的供应商不足三家的；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（2）出现影响采购公正的违法、违规行为的；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（3）投标人的报价均超过了采购预算，采购人不能支付的；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（4）因重大变故，采购任务取消的。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22.2 废标后，采购人或者采购代理机构将废标理由通知所有投标人。</w:t>
      </w:r>
    </w:p>
    <w:p>
      <w:pPr>
        <w:spacing w:line="360" w:lineRule="auto"/>
        <w:ind w:firstLine="420" w:firstLineChars="200"/>
        <w:outlineLvl w:val="1"/>
        <w:rPr>
          <w:rFonts w:hint="eastAsia" w:ascii="黑体" w:hAnsi="黑体" w:eastAsia="黑体" w:cs="黑体"/>
        </w:rPr>
      </w:pPr>
      <w:bookmarkStart w:id="23" w:name="_Toc28447"/>
      <w:bookmarkStart w:id="24" w:name="_Toc132880279"/>
      <w:r>
        <w:rPr>
          <w:rFonts w:hint="eastAsia" w:ascii="黑体" w:hAnsi="黑体" w:eastAsia="黑体" w:cs="黑体"/>
        </w:rPr>
        <w:t>六、中标和合同</w:t>
      </w:r>
      <w:bookmarkEnd w:id="23"/>
      <w:bookmarkEnd w:id="24"/>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23</w:t>
      </w:r>
      <w:r>
        <w:rPr>
          <w:rFonts w:ascii="Times New Roman" w:hAnsi="Times New Roman"/>
          <w:szCs w:val="21"/>
        </w:rPr>
        <w:t>．</w:t>
      </w:r>
      <w:r>
        <w:rPr>
          <w:rFonts w:ascii="Times New Roman" w:hAnsi="Times New Roman"/>
          <w:b/>
          <w:szCs w:val="21"/>
        </w:rPr>
        <w:t>中标</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采购人自行组织招标的，采购人应当在评标结束后5个工作日内，按评标报告推荐的中标候选人顺序确定中标人。</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23.2 采购人或者采购代理机构应当自中标人确定之日起2个工作日内，在</w:t>
      </w:r>
      <w:r>
        <w:rPr>
          <w:rFonts w:ascii="Times New Roman" w:hAnsi="Times New Roman"/>
          <w:b/>
          <w:szCs w:val="21"/>
        </w:rPr>
        <w:t>投标人须知前附表</w:t>
      </w:r>
      <w:r>
        <w:rPr>
          <w:rFonts w:ascii="Times New Roman" w:hAnsi="Times New Roman"/>
          <w:szCs w:val="21"/>
        </w:rPr>
        <w:t>规定的媒体上公告中标结果，招标文件应随中标结果同时公告。中标公告期限为1个工作日。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23.4 中标通知书发出后，采购人或者采购代理机构不得违法改变中标结果，中标人无正当理由不得放弃中标。</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23.5 中标通知书对采购人和中标人具有同等法律效力。</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24</w:t>
      </w:r>
      <w:r>
        <w:rPr>
          <w:rFonts w:ascii="Times New Roman" w:hAnsi="Times New Roman"/>
          <w:szCs w:val="21"/>
        </w:rPr>
        <w:t>．</w:t>
      </w:r>
      <w:r>
        <w:rPr>
          <w:rFonts w:ascii="Times New Roman" w:hAnsi="Times New Roman"/>
          <w:b/>
          <w:szCs w:val="21"/>
        </w:rPr>
        <w:t>签订合同</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24.1 采购人应当自中标通知书发出之日起30日内，按照招标文件和中标人投标文件的规定，与中标人签订合同。</w:t>
      </w:r>
      <w:r>
        <w:rPr>
          <w:rFonts w:ascii="Times New Roman" w:hAnsi="Times New Roman"/>
          <w:szCs w:val="21"/>
          <w:u w:val="single"/>
        </w:rPr>
        <w:t>线上采购项目可通过评审管理系统签订合同</w:t>
      </w:r>
      <w:r>
        <w:rPr>
          <w:rFonts w:ascii="Times New Roman" w:hAnsi="Times New Roman"/>
          <w:szCs w:val="21"/>
        </w:rPr>
        <w:t>。</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24.2 所签订的合同不得对招标文件确定的事项和中标人投标文件作实质性修改。</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24.3 采购人不得向中标人提出任何不合理的要求作为签订合同的条件。</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24.4 中标人拒绝与采购人签订合同的，采购人可以按照评审报告推荐的中标候选人名单排序，确定下一候选人为中标人，也可以重新开展政府采购活动。</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25</w:t>
      </w:r>
      <w:r>
        <w:rPr>
          <w:rFonts w:ascii="Times New Roman" w:hAnsi="Times New Roman"/>
          <w:szCs w:val="21"/>
        </w:rPr>
        <w:t>．</w:t>
      </w:r>
      <w:r>
        <w:rPr>
          <w:rFonts w:ascii="Times New Roman" w:hAnsi="Times New Roman"/>
          <w:b/>
          <w:szCs w:val="21"/>
        </w:rPr>
        <w:t>履约保证金</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25.1 需提交履约保证金的项目，中标人应在合同签订之日起30日内，按照</w:t>
      </w:r>
      <w:r>
        <w:rPr>
          <w:rFonts w:ascii="Times New Roman" w:hAnsi="Times New Roman"/>
          <w:b/>
          <w:szCs w:val="21"/>
        </w:rPr>
        <w:t>投标人须知前附表</w:t>
      </w:r>
      <w:r>
        <w:rPr>
          <w:rFonts w:ascii="Times New Roman" w:hAnsi="Times New Roman"/>
          <w:szCs w:val="21"/>
        </w:rPr>
        <w:t>的规定，向采购人提交履约保证金。</w:t>
      </w:r>
    </w:p>
    <w:p>
      <w:pPr>
        <w:spacing w:line="360" w:lineRule="auto"/>
        <w:ind w:firstLine="420" w:firstLineChars="200"/>
        <w:outlineLvl w:val="1"/>
        <w:rPr>
          <w:rFonts w:hint="eastAsia" w:ascii="黑体" w:hAnsi="黑体" w:eastAsia="黑体" w:cs="黑体"/>
        </w:rPr>
      </w:pPr>
      <w:bookmarkStart w:id="25" w:name="_Toc132880280"/>
      <w:bookmarkStart w:id="26" w:name="_Toc5035"/>
      <w:r>
        <w:rPr>
          <w:rFonts w:hint="eastAsia" w:ascii="黑体" w:hAnsi="黑体" w:eastAsia="黑体" w:cs="黑体"/>
        </w:rPr>
        <w:t>七、询问和质疑</w:t>
      </w:r>
      <w:bookmarkEnd w:id="25"/>
      <w:bookmarkEnd w:id="26"/>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26. 询问</w:t>
      </w:r>
    </w:p>
    <w:p>
      <w:pPr>
        <w:topLinePunct/>
        <w:autoSpaceDE w:val="0"/>
        <w:autoSpaceDN w:val="0"/>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27</w:t>
      </w:r>
      <w:r>
        <w:rPr>
          <w:rFonts w:ascii="Times New Roman" w:hAnsi="Times New Roman"/>
          <w:szCs w:val="21"/>
        </w:rPr>
        <w:t>．</w:t>
      </w:r>
      <w:r>
        <w:rPr>
          <w:rFonts w:ascii="Times New Roman" w:hAnsi="Times New Roman"/>
          <w:b/>
          <w:szCs w:val="21"/>
        </w:rPr>
        <w:t>质疑</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ascii="Times New Roman" w:hAnsi="Times New Roman"/>
          <w:b/>
          <w:bCs/>
          <w:szCs w:val="21"/>
        </w:rPr>
        <w:t>见</w:t>
      </w:r>
      <w:r>
        <w:rPr>
          <w:rFonts w:ascii="Times New Roman" w:hAnsi="Times New Roman"/>
          <w:b/>
          <w:szCs w:val="21"/>
        </w:rPr>
        <w:t>投标人须知前附表</w:t>
      </w:r>
      <w:r>
        <w:rPr>
          <w:rFonts w:ascii="Times New Roman" w:hAnsi="Times New Roman"/>
          <w:szCs w:val="21"/>
        </w:rPr>
        <w:t>。</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27.2在法定质疑期内，针对同一采购程序环节的质疑应一次性提出。</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27.3质疑人应知其权益受到损害之日，是指： </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（1）对可以质疑的采购文件提出质疑的，为收到采购文件之日或者采购文件公告期限届满之日；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（2）对采购过程提出质疑的，为各采购程序环节结束之日；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（3）对中标结果提出质疑的，为中标结果公告期限届满之日。</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27.4质疑应当有明确的请求和必要的证明材料。供应商为自然人的，应当由本人签字；供应商为法人或者其他组织的，应当由法定代表人、主要负责人，或者其授权代表签字或者签章，并加盖公章。</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27.5 采购人或者代理机构应当在收到供应商的质疑函后7个工作日内，对质疑内容作出答复，</w:t>
      </w:r>
      <w:r>
        <w:rPr>
          <w:rFonts w:ascii="Times New Roman" w:hAnsi="Times New Roman"/>
          <w:bCs/>
          <w:szCs w:val="21"/>
        </w:rPr>
        <w:t>书面形式</w:t>
      </w:r>
      <w:r>
        <w:rPr>
          <w:rFonts w:ascii="Times New Roman" w:hAnsi="Times New Roman"/>
          <w:szCs w:val="21"/>
        </w:rPr>
        <w:t>通知质疑供应商和其他有关供应商，但答复内容不得涉及商业秘密。</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27.6质疑人对采购人、采购代理机构的答复不满意或者采购人、采购代理机构未在规定的时间内作出答复的，可以在答复期满后15个工作日内向同级人民政府财政部门投诉。</w:t>
      </w:r>
    </w:p>
    <w:p>
      <w:pPr>
        <w:pStyle w:val="31"/>
        <w:widowControl w:val="0"/>
        <w:spacing w:line="360" w:lineRule="auto"/>
        <w:ind w:firstLine="420" w:firstLineChars="200"/>
        <w:jc w:val="both"/>
        <w:rPr>
          <w:rFonts w:hint="default" w:ascii="Times New Roman" w:hAnsi="Times New Roman"/>
          <w:sz w:val="21"/>
          <w:szCs w:val="21"/>
        </w:rPr>
      </w:pPr>
      <w:r>
        <w:rPr>
          <w:rFonts w:hint="default" w:ascii="Times New Roman" w:hAnsi="Times New Roman"/>
          <w:sz w:val="21"/>
          <w:szCs w:val="21"/>
        </w:rPr>
        <w:t>27.7投诉应当有明确的请求和必要的证明材料。投诉的事项不得超出已质疑事项的范围。</w:t>
      </w:r>
    </w:p>
    <w:p>
      <w:pPr>
        <w:spacing w:line="360" w:lineRule="auto"/>
        <w:ind w:firstLine="420" w:firstLineChars="200"/>
        <w:outlineLvl w:val="1"/>
        <w:rPr>
          <w:rFonts w:hint="eastAsia" w:ascii="黑体" w:hAnsi="黑体" w:eastAsia="黑体" w:cs="黑体"/>
        </w:rPr>
      </w:pPr>
      <w:bookmarkStart w:id="27" w:name="_Toc23390"/>
      <w:bookmarkStart w:id="28" w:name="_Toc132880281"/>
      <w:r>
        <w:rPr>
          <w:rFonts w:hint="eastAsia" w:ascii="黑体" w:hAnsi="黑体" w:eastAsia="黑体" w:cs="黑体"/>
        </w:rPr>
        <w:t>八、其他</w:t>
      </w:r>
      <w:bookmarkEnd w:id="27"/>
      <w:bookmarkEnd w:id="28"/>
    </w:p>
    <w:p>
      <w:pPr>
        <w:topLinePunct/>
        <w:autoSpaceDE w:val="0"/>
        <w:autoSpaceDN w:val="0"/>
        <w:adjustRightInd w:val="0"/>
        <w:snapToGrid w:val="0"/>
        <w:spacing w:line="360" w:lineRule="auto"/>
        <w:ind w:firstLine="422" w:firstLineChars="200"/>
        <w:rPr>
          <w:rFonts w:ascii="Times New Roman" w:hAnsi="Times New Roman"/>
          <w:b/>
          <w:szCs w:val="21"/>
        </w:rPr>
      </w:pPr>
      <w:bookmarkStart w:id="29" w:name="_Toc319519285"/>
      <w:bookmarkStart w:id="30" w:name="_Toc233181902"/>
      <w:bookmarkStart w:id="31" w:name="_Toc262111390"/>
      <w:bookmarkStart w:id="32" w:name="_Toc217989361"/>
      <w:r>
        <w:rPr>
          <w:rFonts w:ascii="Times New Roman" w:hAnsi="Times New Roman"/>
          <w:b/>
          <w:szCs w:val="21"/>
        </w:rPr>
        <w:t>28</w:t>
      </w:r>
      <w:r>
        <w:rPr>
          <w:rFonts w:ascii="Times New Roman" w:hAnsi="Times New Roman"/>
          <w:szCs w:val="21"/>
        </w:rPr>
        <w:t>．</w:t>
      </w:r>
      <w:r>
        <w:rPr>
          <w:rFonts w:ascii="Times New Roman" w:hAnsi="Times New Roman"/>
          <w:b/>
          <w:szCs w:val="21"/>
        </w:rPr>
        <w:t>保密</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28.1采购人、采购代理机构应当采取必要措施，保证评标在严格保密的情况下进行。除采购人代表、评标现场组织人员外，采购人的其他工作人员以及与评标工作无关的人员不得进入评标现场。</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28.2 评标委员会成员和参与评标工作的有关人员对评标情况以及在评标过程中获悉的国家秘密、商业秘密负有保密责任。</w:t>
      </w:r>
    </w:p>
    <w:p>
      <w:pPr>
        <w:topLinePunct/>
        <w:autoSpaceDE w:val="0"/>
        <w:autoSpaceDN w:val="0"/>
        <w:adjustRightInd w:val="0"/>
        <w:snapToGrid w:val="0"/>
        <w:spacing w:line="360" w:lineRule="auto"/>
        <w:ind w:firstLine="422" w:firstLineChars="200"/>
        <w:rPr>
          <w:rFonts w:ascii="Times New Roman" w:hAnsi="Times New Roman"/>
          <w:b/>
          <w:szCs w:val="21"/>
        </w:rPr>
      </w:pPr>
      <w:r>
        <w:rPr>
          <w:rFonts w:ascii="Times New Roman" w:hAnsi="Times New Roman"/>
          <w:b/>
          <w:szCs w:val="21"/>
        </w:rPr>
        <w:t>29. 知识产权与规避专利、版权纠纷</w:t>
      </w:r>
      <w:bookmarkEnd w:id="29"/>
      <w:bookmarkEnd w:id="30"/>
      <w:bookmarkEnd w:id="31"/>
      <w:bookmarkEnd w:id="32"/>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29.1 知识产权</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29.2 规避专利、版权纠纷</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29.2.1 投标人应保证其投标方案中的有关软件、文件、图纸等没有违反有关专利和版权等知识产权的规定。</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29.2.2 中标人应保证采购人在中华人民共和国使用本项目成果任何一部分、或接受乙方服务时，免受第三方提出的侵犯其专利权、商标权或工业设计权等知识产权的索赔或起诉。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spacing w:line="360" w:lineRule="auto"/>
        <w:rPr>
          <w:rFonts w:ascii="Times New Roman" w:hAnsi="Times New Roman"/>
          <w:szCs w:val="21"/>
        </w:rPr>
        <w:sectPr>
          <w:pgSz w:w="11906" w:h="16838"/>
          <w:pgMar w:top="1440" w:right="1752" w:bottom="1440" w:left="1752" w:header="851" w:footer="992" w:gutter="0"/>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33" w:name="_Toc132880282"/>
      <w:bookmarkStart w:id="34" w:name="_Toc1298913388"/>
      <w:bookmarkStart w:id="35" w:name="_Toc1762322514"/>
      <w:bookmarkStart w:id="36" w:name="_Toc9395"/>
      <w:bookmarkStart w:id="37" w:name="_Toc525052846"/>
      <w:bookmarkStart w:id="38" w:name="_Toc1168671576"/>
      <w:bookmarkStart w:id="39" w:name="_Toc1380332034"/>
      <w:bookmarkStart w:id="40" w:name="_Toc937455070"/>
      <w:bookmarkStart w:id="41" w:name="_Toc1481241717"/>
      <w:bookmarkStart w:id="42" w:name="_Toc38030149"/>
      <w:r>
        <w:rPr>
          <w:rFonts w:hint="eastAsia" w:ascii="华文中宋" w:hAnsi="华文中宋" w:eastAsia="华文中宋" w:cs="华文中宋"/>
          <w:sz w:val="28"/>
          <w:szCs w:val="28"/>
        </w:rPr>
        <w:t>第三章  评标方法及标准</w:t>
      </w:r>
      <w:bookmarkEnd w:id="33"/>
      <w:bookmarkEnd w:id="34"/>
      <w:bookmarkEnd w:id="35"/>
      <w:bookmarkEnd w:id="36"/>
      <w:bookmarkEnd w:id="37"/>
      <w:bookmarkEnd w:id="38"/>
      <w:bookmarkEnd w:id="39"/>
      <w:bookmarkEnd w:id="40"/>
      <w:bookmarkEnd w:id="41"/>
      <w:bookmarkEnd w:id="42"/>
    </w:p>
    <w:p>
      <w:pPr>
        <w:topLinePunct/>
        <w:autoSpaceDE w:val="0"/>
        <w:autoSpaceDN w:val="0"/>
        <w:adjustRightInd w:val="0"/>
        <w:snapToGrid w:val="0"/>
        <w:spacing w:line="400" w:lineRule="exact"/>
        <w:ind w:firstLine="422" w:firstLineChars="200"/>
        <w:rPr>
          <w:rFonts w:ascii="Times New Roman" w:hAnsi="Times New Roman"/>
          <w:b/>
          <w:szCs w:val="21"/>
        </w:rPr>
      </w:pPr>
      <w:r>
        <w:rPr>
          <w:rFonts w:ascii="Times New Roman" w:hAnsi="Times New Roman"/>
          <w:b/>
          <w:szCs w:val="21"/>
        </w:rPr>
        <w:t>1.评标方法</w:t>
      </w:r>
    </w:p>
    <w:p>
      <w:pPr>
        <w:widowControl/>
        <w:topLinePunct/>
        <w:autoSpaceDE w:val="0"/>
        <w:autoSpaceDN w:val="0"/>
        <w:adjustRightInd w:val="0"/>
        <w:snapToGrid w:val="0"/>
        <w:spacing w:line="400" w:lineRule="exact"/>
        <w:ind w:firstLine="420" w:firstLineChars="200"/>
        <w:rPr>
          <w:rFonts w:ascii="Times New Roman" w:hAnsi="Times New Roman"/>
          <w:szCs w:val="21"/>
        </w:rPr>
      </w:pPr>
      <w:r>
        <w:rPr>
          <w:rFonts w:ascii="Times New Roman" w:hAnsi="Times New Roman"/>
          <w:szCs w:val="21"/>
        </w:rPr>
        <w:t>1.1 本项目</w:t>
      </w:r>
      <w:r>
        <w:rPr>
          <w:rFonts w:hint="eastAsia" w:ascii="Times New Roman" w:hAnsi="Times New Roman"/>
          <w:szCs w:val="21"/>
        </w:rPr>
        <w:t>采购包1、2、3、4</w:t>
      </w:r>
      <w:r>
        <w:rPr>
          <w:rFonts w:ascii="Times New Roman" w:hAnsi="Times New Roman"/>
          <w:szCs w:val="21"/>
        </w:rPr>
        <w:t>评标方法：</w:t>
      </w:r>
      <w:r>
        <w:rPr>
          <w:rFonts w:ascii="Times New Roman" w:hAnsi="Times New Roman"/>
          <w:b/>
          <w:szCs w:val="21"/>
          <w:u w:val="single"/>
        </w:rPr>
        <w:t>采用综合评分法</w:t>
      </w:r>
    </w:p>
    <w:p>
      <w:pPr>
        <w:topLinePunct/>
        <w:autoSpaceDE w:val="0"/>
        <w:autoSpaceDN w:val="0"/>
        <w:adjustRightInd w:val="0"/>
        <w:snapToGrid w:val="0"/>
        <w:spacing w:line="400" w:lineRule="exact"/>
        <w:ind w:firstLine="422" w:firstLineChars="200"/>
        <w:rPr>
          <w:rFonts w:ascii="Times New Roman" w:hAnsi="Times New Roman"/>
          <w:b/>
          <w:szCs w:val="21"/>
        </w:rPr>
      </w:pPr>
      <w:r>
        <w:rPr>
          <w:rFonts w:ascii="Times New Roman" w:hAnsi="Times New Roman"/>
          <w:b/>
          <w:szCs w:val="21"/>
        </w:rPr>
        <w:t>2.评标标准</w:t>
      </w:r>
    </w:p>
    <w:p>
      <w:pPr>
        <w:pStyle w:val="31"/>
        <w:widowControl w:val="0"/>
        <w:spacing w:line="400" w:lineRule="exact"/>
        <w:ind w:firstLine="420" w:firstLineChars="200"/>
        <w:jc w:val="both"/>
        <w:rPr>
          <w:rFonts w:hint="default" w:ascii="Times New Roman" w:hAnsi="Times New Roman"/>
          <w:sz w:val="21"/>
          <w:szCs w:val="21"/>
        </w:rPr>
      </w:pPr>
      <w:r>
        <w:rPr>
          <w:rFonts w:hint="default" w:ascii="Times New Roman" w:hAnsi="Times New Roman"/>
          <w:sz w:val="21"/>
          <w:szCs w:val="21"/>
        </w:rPr>
        <w:t>2.1 本项目</w:t>
      </w:r>
      <w:r>
        <w:rPr>
          <w:rFonts w:ascii="Times New Roman" w:hAnsi="Times New Roman"/>
          <w:b/>
          <w:sz w:val="21"/>
          <w:szCs w:val="21"/>
          <w:u w:val="single"/>
        </w:rPr>
        <w:t>采购包1、2、3、4均</w:t>
      </w:r>
      <w:r>
        <w:rPr>
          <w:rFonts w:hint="default" w:ascii="Times New Roman" w:hAnsi="Times New Roman"/>
          <w:b/>
          <w:sz w:val="21"/>
          <w:szCs w:val="21"/>
          <w:u w:val="single"/>
        </w:rPr>
        <w:t>采用综合评分法</w:t>
      </w:r>
      <w:r>
        <w:rPr>
          <w:rFonts w:hint="default" w:ascii="Times New Roman" w:hAnsi="Times New Roman"/>
          <w:sz w:val="21"/>
          <w:szCs w:val="21"/>
        </w:rPr>
        <w:t>进行评标，综合评分法是指投标文件满足招标文件全部实质性要求，且按照评审因素的量化指标评审得分最高的投标人为中标候选人的评标方法。评审因素主要内容如下表。</w:t>
      </w:r>
    </w:p>
    <w:p>
      <w:pPr>
        <w:snapToGrid w:val="0"/>
        <w:spacing w:line="560" w:lineRule="exact"/>
        <w:ind w:firstLine="422" w:firstLineChars="200"/>
        <w:outlineLvl w:val="1"/>
        <w:rPr>
          <w:rFonts w:ascii="Times New Roman" w:hAnsi="Times New Roman"/>
          <w:b/>
          <w:bCs/>
          <w:szCs w:val="21"/>
        </w:rPr>
      </w:pPr>
      <w:r>
        <w:rPr>
          <w:rFonts w:ascii="Times New Roman" w:hAnsi="Times New Roman"/>
          <w:b/>
          <w:bCs/>
          <w:szCs w:val="21"/>
        </w:rPr>
        <w:t>2.2</w:t>
      </w:r>
      <w:r>
        <w:rPr>
          <w:rFonts w:hint="eastAsia" w:ascii="Times New Roman" w:hAnsi="Times New Roman"/>
          <w:b/>
          <w:bCs/>
          <w:szCs w:val="21"/>
        </w:rPr>
        <w:t>.1</w:t>
      </w:r>
      <w:r>
        <w:rPr>
          <w:rFonts w:ascii="Times New Roman" w:hAnsi="Times New Roman"/>
          <w:b/>
          <w:bCs/>
          <w:szCs w:val="21"/>
        </w:rPr>
        <w:t xml:space="preserve"> </w:t>
      </w:r>
      <w:r>
        <w:rPr>
          <w:rFonts w:hint="eastAsia" w:ascii="Times New Roman" w:hAnsi="Times New Roman"/>
          <w:b/>
          <w:bCs/>
          <w:szCs w:val="21"/>
        </w:rPr>
        <w:t>采购包1“税务区块链基础平台部署实施和上下链接口服务”</w:t>
      </w:r>
    </w:p>
    <w:p>
      <w:pPr>
        <w:topLinePunct/>
        <w:autoSpaceDE w:val="0"/>
        <w:autoSpaceDN w:val="0"/>
        <w:spacing w:line="400" w:lineRule="exact"/>
        <w:ind w:firstLine="422" w:firstLineChars="200"/>
        <w:rPr>
          <w:rFonts w:hint="eastAsia" w:ascii="宋体" w:hAnsi="宋体" w:cs="宋体"/>
          <w:sz w:val="24"/>
        </w:rPr>
      </w:pPr>
      <w:r>
        <w:rPr>
          <w:rFonts w:ascii="Times New Roman" w:hAnsi="Times New Roman"/>
          <w:b/>
          <w:bCs/>
          <w:szCs w:val="21"/>
        </w:rPr>
        <w:t>价格分值为</w:t>
      </w:r>
      <w:r>
        <w:rPr>
          <w:rFonts w:ascii="Times New Roman" w:hAnsi="Times New Roman"/>
          <w:b/>
          <w:bCs/>
          <w:szCs w:val="21"/>
          <w:u w:val="single"/>
        </w:rPr>
        <w:t xml:space="preserve"> </w:t>
      </w:r>
      <w:r>
        <w:rPr>
          <w:rFonts w:hint="eastAsia" w:ascii="Times New Roman" w:hAnsi="Times New Roman"/>
          <w:b/>
          <w:bCs/>
          <w:szCs w:val="21"/>
          <w:u w:val="single"/>
        </w:rPr>
        <w:t>15</w:t>
      </w:r>
      <w:r>
        <w:rPr>
          <w:rFonts w:ascii="Times New Roman" w:hAnsi="Times New Roman"/>
          <w:b/>
          <w:bCs/>
          <w:szCs w:val="21"/>
          <w:u w:val="single"/>
        </w:rPr>
        <w:t xml:space="preserve"> </w:t>
      </w:r>
      <w:r>
        <w:rPr>
          <w:rFonts w:ascii="Times New Roman" w:hAnsi="Times New Roman"/>
          <w:b/>
          <w:bCs/>
          <w:szCs w:val="21"/>
        </w:rPr>
        <w:t>分，其余评审因素分值为</w:t>
      </w:r>
      <w:r>
        <w:rPr>
          <w:rFonts w:ascii="Times New Roman" w:hAnsi="Times New Roman"/>
          <w:b/>
          <w:bCs/>
          <w:szCs w:val="21"/>
          <w:u w:val="single"/>
        </w:rPr>
        <w:t xml:space="preserve"> </w:t>
      </w:r>
      <w:r>
        <w:rPr>
          <w:rFonts w:hint="eastAsia" w:ascii="Times New Roman" w:hAnsi="Times New Roman"/>
          <w:b/>
          <w:bCs/>
          <w:szCs w:val="21"/>
          <w:u w:val="single"/>
        </w:rPr>
        <w:t>85</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(其中商务因素</w:t>
      </w:r>
      <w:r>
        <w:rPr>
          <w:rFonts w:hint="eastAsia" w:ascii="Times New Roman" w:hAnsi="Times New Roman"/>
          <w:b/>
          <w:bCs/>
          <w:szCs w:val="21"/>
          <w:u w:val="single"/>
        </w:rPr>
        <w:t xml:space="preserve"> 11</w:t>
      </w:r>
      <w:r>
        <w:rPr>
          <w:rFonts w:ascii="Times New Roman" w:hAnsi="Times New Roman"/>
          <w:b/>
          <w:bCs/>
          <w:szCs w:val="21"/>
        </w:rPr>
        <w:t>分</w:t>
      </w:r>
      <w:r>
        <w:rPr>
          <w:rFonts w:hint="eastAsia" w:ascii="Times New Roman" w:hAnsi="Times New Roman"/>
          <w:b/>
          <w:bCs/>
          <w:szCs w:val="21"/>
        </w:rPr>
        <w:t>，技术因素</w:t>
      </w:r>
      <w:r>
        <w:rPr>
          <w:rFonts w:hint="eastAsia" w:ascii="Times New Roman" w:hAnsi="Times New Roman"/>
          <w:b/>
          <w:bCs/>
          <w:szCs w:val="21"/>
          <w:u w:val="single"/>
        </w:rPr>
        <w:t xml:space="preserve"> 74</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w:t>
      </w:r>
      <w:r>
        <w:rPr>
          <w:rFonts w:ascii="Times New Roman" w:hAnsi="Times New Roman"/>
          <w:b/>
          <w:bCs/>
          <w:szCs w:val="21"/>
        </w:rPr>
        <w:t>。评审标准如下表</w:t>
      </w:r>
      <w:r>
        <w:rPr>
          <w:rFonts w:hint="eastAsia" w:ascii="宋体" w:hAnsi="宋体" w:cs="宋体"/>
          <w:b/>
          <w:bCs/>
          <w:sz w:val="24"/>
        </w:rPr>
        <w:t>：</w:t>
      </w:r>
    </w:p>
    <w:tbl>
      <w:tblPr>
        <w:tblStyle w:val="24"/>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770"/>
        <w:gridCol w:w="1238"/>
        <w:gridCol w:w="5677"/>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序号</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评审因素</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主要内容</w:t>
            </w:r>
          </w:p>
        </w:tc>
        <w:tc>
          <w:tcPr>
            <w:tcW w:w="567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细项</w:t>
            </w:r>
          </w:p>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r>
              <w:rPr>
                <w:rFonts w:hint="eastAsia" w:ascii="宋体" w:hAnsi="宋体" w:cs="宋体"/>
                <w:szCs w:val="21"/>
                <w:lang w:val="zh-CN"/>
              </w:rPr>
              <w:t>投标报价</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r>
              <w:rPr>
                <w:rFonts w:hint="eastAsia" w:ascii="宋体" w:hAnsi="宋体" w:cs="宋体"/>
                <w:szCs w:val="21"/>
              </w:rPr>
              <w:t>A</w:t>
            </w:r>
            <w:r>
              <w:rPr>
                <w:rFonts w:hint="eastAsia" w:ascii="宋体" w:hAnsi="宋体" w:cs="宋体"/>
                <w:szCs w:val="21"/>
                <w:lang w:val="zh-CN"/>
              </w:rPr>
              <w:t>价格</w:t>
            </w: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31"/>
              <w:widowControl w:val="0"/>
              <w:spacing w:line="400" w:lineRule="exact"/>
              <w:jc w:val="both"/>
              <w:rPr>
                <w:rFonts w:ascii="宋体" w:hAnsi="宋体" w:cs="宋体"/>
                <w:sz w:val="21"/>
                <w:szCs w:val="21"/>
              </w:rPr>
            </w:pPr>
            <w:r>
              <w:rPr>
                <w:rFonts w:ascii="宋体" w:hAnsi="宋体" w:cs="宋体"/>
                <w:sz w:val="21"/>
                <w:szCs w:val="21"/>
              </w:rPr>
              <w:t>投标报价得分=（评标基准价／投标报价）× 满分值</w:t>
            </w:r>
          </w:p>
          <w:p>
            <w:pPr>
              <w:pStyle w:val="31"/>
              <w:widowControl w:val="0"/>
              <w:spacing w:line="400" w:lineRule="exact"/>
              <w:jc w:val="both"/>
              <w:rPr>
                <w:rFonts w:ascii="宋体" w:hAnsi="宋体" w:cs="宋体"/>
                <w:sz w:val="21"/>
                <w:szCs w:val="21"/>
              </w:rPr>
            </w:pPr>
            <w:r>
              <w:rPr>
                <w:rFonts w:ascii="宋体" w:hAnsi="宋体" w:cs="宋体"/>
                <w:sz w:val="21"/>
                <w:szCs w:val="21"/>
              </w:rPr>
              <w:t>（1）评标基准价是指满足招标文件要求且投标价格最低的投标报价。</w:t>
            </w:r>
          </w:p>
          <w:p>
            <w:pPr>
              <w:spacing w:line="400" w:lineRule="exact"/>
              <w:rPr>
                <w:rFonts w:hint="eastAsia" w:ascii="宋体" w:hAnsi="宋体" w:cs="宋体"/>
                <w:szCs w:val="21"/>
              </w:rPr>
            </w:pPr>
            <w:r>
              <w:rPr>
                <w:rFonts w:hint="eastAsia" w:ascii="宋体" w:hAnsi="宋体" w:cs="宋体"/>
                <w:szCs w:val="21"/>
              </w:rPr>
              <w:t>（2）因落实政府采购政策进行价格调整的，以调整后的价格计算评标基准价和投标报价。</w:t>
            </w:r>
          </w:p>
          <w:p>
            <w:pPr>
              <w:pStyle w:val="30"/>
              <w:spacing w:line="400" w:lineRule="exact"/>
              <w:rPr>
                <w:rFonts w:hint="eastAsia" w:ascii="宋体" w:hAnsi="宋体" w:cs="宋体"/>
                <w:szCs w:val="21"/>
                <w:lang w:val="zh-CN"/>
              </w:rPr>
            </w:pPr>
            <w:r>
              <w:rPr>
                <w:rFonts w:hint="eastAsia" w:ascii="宋体" w:hAnsi="宋体" w:cs="宋体"/>
                <w:kern w:val="0"/>
                <w:szCs w:val="21"/>
              </w:rPr>
              <w:t>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rPr>
            </w:pPr>
            <w:r>
              <w:rPr>
                <w:rFonts w:hint="eastAsia" w:ascii="宋体" w:hAnsi="宋体" w:cs="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2</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r>
              <w:rPr>
                <w:rFonts w:hint="eastAsia" w:ascii="宋体" w:hAnsi="宋体" w:cs="宋体"/>
                <w:szCs w:val="21"/>
                <w:lang w:val="zh-CN"/>
              </w:rPr>
              <w:t>商务因素</w:t>
            </w:r>
          </w:p>
        </w:tc>
        <w:tc>
          <w:tcPr>
            <w:tcW w:w="1238" w:type="dxa"/>
            <w:tcBorders>
              <w:top w:val="single" w:color="auto" w:sz="4" w:space="0"/>
              <w:left w:val="single" w:color="auto" w:sz="4" w:space="0"/>
              <w:right w:val="single" w:color="auto" w:sz="4" w:space="0"/>
            </w:tcBorders>
            <w:noWrap/>
            <w:vAlign w:val="center"/>
          </w:tcPr>
          <w:p>
            <w:pPr>
              <w:spacing w:line="400" w:lineRule="exact"/>
              <w:jc w:val="center"/>
              <w:rPr>
                <w:rFonts w:hint="eastAsia" w:ascii="宋体" w:hAnsi="宋体" w:cs="宋体"/>
                <w:szCs w:val="21"/>
                <w:lang w:val="zh-CN"/>
              </w:rPr>
            </w:pPr>
            <w:r>
              <w:rPr>
                <w:rFonts w:hint="eastAsia" w:ascii="宋体" w:hAnsi="宋体" w:cs="宋体"/>
                <w:szCs w:val="21"/>
              </w:rPr>
              <w:t>B1投标人综合实力（6分）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B1投标人是否具有有效的ISO质量管理体系认证证书、ISOIT服务管理体系认证证书及ISO信息安全管理体系认证证书，每提供一项得2分，满分6分。（提供证书编号及查询网址或者提供有效的证书复印件，否则不得分）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zCs w:val="21"/>
                <w:lang w:val="zh-CN"/>
              </w:rPr>
            </w:pPr>
            <w:r>
              <w:rPr>
                <w:rFonts w:hint="eastAsia" w:ascii="宋体" w:hAnsi="宋体" w:cs="宋体"/>
                <w:szCs w:val="21"/>
              </w:rPr>
              <w:t>B2投标人类似项目成功案例（5分）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B2根据投标人提供的2021年1月1日至今承担的业务系统软件开发类或者系统运维类案例证明文件评分。每提供1个案例得1分，最多得5分。需提供项目成功案例证明资料（包括合同关键页、合同内容、合同甲乙双方或用户证明材料等复印件并加盖投标人公章）。</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r>
              <w:rPr>
                <w:rFonts w:hint="eastAsia" w:ascii="宋体" w:hAnsi="宋体" w:cs="宋体"/>
                <w:szCs w:val="21"/>
                <w:lang w:val="zh-CN"/>
              </w:rPr>
              <w:t>技术因素</w:t>
            </w: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C1项目理解 (10 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rPr>
            </w:pPr>
            <w:r>
              <w:rPr>
                <w:rFonts w:hint="eastAsia" w:ascii="宋体" w:hAnsi="宋体" w:cs="宋体"/>
                <w:b/>
                <w:bCs/>
                <w:szCs w:val="21"/>
              </w:rPr>
              <w:t xml:space="preserve">C1.1 </w:t>
            </w:r>
            <w:r>
              <w:rPr>
                <w:rFonts w:hint="eastAsia" w:ascii="宋体" w:hAnsi="宋体" w:cs="宋体"/>
                <w:szCs w:val="21"/>
              </w:rPr>
              <w:t>根据投标人对本项目涉及的税务区块链的业务范畴、服务对象、应用架构、数据架构等方面的理解进行综合打分：</w:t>
            </w:r>
          </w:p>
          <w:p>
            <w:pPr>
              <w:snapToGrid w:val="0"/>
              <w:spacing w:line="400" w:lineRule="exact"/>
              <w:jc w:val="left"/>
              <w:rPr>
                <w:rFonts w:hint="eastAsia" w:ascii="宋体" w:hAnsi="宋体" w:cs="宋体"/>
                <w:szCs w:val="21"/>
                <w:lang w:val="zh-CN"/>
              </w:rPr>
            </w:pPr>
            <w:r>
              <w:rPr>
                <w:rFonts w:hint="eastAsia" w:ascii="宋体" w:hAnsi="宋体" w:cs="宋体"/>
                <w:szCs w:val="21"/>
              </w:rPr>
              <w:t>（1）理解全面、深入，描述准确，得5分；                                                       （2）理解较为全面，描述较为准确，得3分；                                         （3）理解基本到位，描述基本符合要求，得1分；                                                    （4）理解存在严重偏差或者不提供的不得分。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kern w:val="1"/>
                <w:szCs w:val="21"/>
              </w:rPr>
            </w:pPr>
            <w:r>
              <w:rPr>
                <w:rFonts w:hint="eastAsia" w:ascii="宋体" w:hAnsi="宋体" w:cs="宋体"/>
                <w:kern w:val="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tcPr>
          <w:p>
            <w:pPr>
              <w:spacing w:line="400" w:lineRule="exact"/>
              <w:textAlignment w:val="center"/>
              <w:rPr>
                <w:rFonts w:hint="eastAsia" w:ascii="宋体" w:hAnsi="宋体" w:cs="宋体"/>
                <w:szCs w:val="21"/>
              </w:rPr>
            </w:pPr>
            <w:r>
              <w:rPr>
                <w:rFonts w:hint="eastAsia" w:ascii="宋体" w:hAnsi="宋体" w:cs="宋体"/>
                <w:b/>
                <w:bCs/>
                <w:szCs w:val="21"/>
              </w:rPr>
              <w:t xml:space="preserve">C1.2 </w:t>
            </w:r>
            <w:r>
              <w:rPr>
                <w:rFonts w:hint="eastAsia" w:ascii="宋体" w:hAnsi="宋体" w:cs="宋体"/>
                <w:szCs w:val="21"/>
              </w:rPr>
              <w:t>根据投标人对项目总体要求、招标内容及要求、项目实施要求、技术支持服务要求、项目验收要求、其他要求等方面的理解进行综合打分：</w:t>
            </w:r>
          </w:p>
          <w:p>
            <w:pPr>
              <w:snapToGrid w:val="0"/>
              <w:spacing w:line="400" w:lineRule="exact"/>
              <w:jc w:val="left"/>
              <w:rPr>
                <w:rFonts w:hint="eastAsia" w:ascii="宋体" w:hAnsi="宋体" w:cs="宋体"/>
                <w:szCs w:val="21"/>
                <w:lang w:val="zh-CN"/>
              </w:rPr>
            </w:pPr>
            <w:r>
              <w:rPr>
                <w:rFonts w:hint="eastAsia" w:ascii="宋体" w:hAnsi="宋体" w:cs="宋体"/>
                <w:szCs w:val="21"/>
              </w:rPr>
              <w:t>（1）理解全面、深入，描述准确，得5分；                                                       （2）理解较为全面，描述较为准确，得3分；                                         （3）理解基本到位，描述基本符合要求，得1分；                                                   （4）理解存在严重偏差或者不提供的不得分。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kern w:val="1"/>
                <w:szCs w:val="21"/>
              </w:rPr>
            </w:pPr>
            <w:r>
              <w:rPr>
                <w:rFonts w:hint="eastAsia" w:ascii="宋体" w:hAnsi="宋体" w:cs="宋体"/>
                <w:kern w:val="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C2项目上线服务方案（35分）</w:t>
            </w: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19"/>
              <w:ind w:left="0" w:leftChars="0" w:firstLine="0"/>
              <w:rPr>
                <w:rFonts w:hint="eastAsia" w:ascii="宋体" w:hAnsi="宋体" w:cs="宋体"/>
                <w:szCs w:val="21"/>
              </w:rPr>
            </w:pPr>
            <w:r>
              <w:rPr>
                <w:rFonts w:hint="eastAsia" w:ascii="宋体" w:hAnsi="宋体" w:cs="宋体"/>
                <w:szCs w:val="21"/>
              </w:rPr>
              <w:t>C2.1 根据投标人提供的税务区块链基础平台部署实施服务方案是否完整响应项目需求，是否详细、合理，是否可操作进行综合打分。</w:t>
            </w:r>
          </w:p>
          <w:p>
            <w:pPr>
              <w:pStyle w:val="19"/>
              <w:numPr>
                <w:ilvl w:val="255"/>
                <w:numId w:val="0"/>
              </w:numPr>
              <w:rPr>
                <w:rFonts w:hint="eastAsia" w:ascii="宋体" w:hAnsi="宋体" w:cs="宋体"/>
                <w:szCs w:val="21"/>
              </w:rPr>
            </w:pPr>
            <w:r>
              <w:rPr>
                <w:rFonts w:hint="eastAsia" w:ascii="宋体" w:hAnsi="宋体" w:cs="宋体"/>
                <w:szCs w:val="21"/>
              </w:rPr>
              <w:t>（1）方案完整响应项目需求，相关内容详细、合理，可操作性强的，得5分；</w:t>
            </w:r>
          </w:p>
          <w:p>
            <w:pPr>
              <w:pStyle w:val="19"/>
              <w:numPr>
                <w:ilvl w:val="255"/>
                <w:numId w:val="0"/>
              </w:numPr>
              <w:rPr>
                <w:rFonts w:hint="eastAsia" w:ascii="宋体" w:hAnsi="宋体" w:cs="宋体"/>
                <w:szCs w:val="21"/>
              </w:rPr>
            </w:pPr>
            <w:r>
              <w:rPr>
                <w:rFonts w:hint="eastAsia" w:ascii="宋体" w:hAnsi="宋体" w:cs="宋体"/>
                <w:szCs w:val="21"/>
              </w:rPr>
              <w:t xml:space="preserve">（2）方案较为完整响应项目需求，相关内容较为详细、合理，可操作性较强的，得3分；                                         </w:t>
            </w:r>
          </w:p>
          <w:p>
            <w:pPr>
              <w:pStyle w:val="19"/>
              <w:numPr>
                <w:ilvl w:val="255"/>
                <w:numId w:val="0"/>
              </w:numPr>
              <w:spacing w:line="400" w:lineRule="exact"/>
              <w:rPr>
                <w:rFonts w:hint="eastAsia" w:ascii="宋体" w:hAnsi="宋体" w:cs="宋体"/>
                <w:szCs w:val="21"/>
              </w:rPr>
            </w:pPr>
            <w:r>
              <w:rPr>
                <w:rFonts w:hint="eastAsia" w:ascii="宋体" w:hAnsi="宋体" w:cs="宋体"/>
                <w:szCs w:val="21"/>
              </w:rPr>
              <w:t>（3）方案基本</w:t>
            </w:r>
            <w:r>
              <w:rPr>
                <w:rFonts w:ascii="宋体" w:hAnsi="宋体" w:cs="宋体"/>
                <w:szCs w:val="21"/>
              </w:rPr>
              <w:t>响应项目需求</w:t>
            </w:r>
            <w:r>
              <w:rPr>
                <w:rFonts w:hint="eastAsia" w:ascii="宋体" w:hAnsi="宋体" w:cs="宋体"/>
                <w:szCs w:val="21"/>
              </w:rPr>
              <w:t>，相关内容合理，可操作性一般的，得1分；</w:t>
            </w:r>
          </w:p>
          <w:p>
            <w:pPr>
              <w:pStyle w:val="19"/>
              <w:numPr>
                <w:ilvl w:val="255"/>
                <w:numId w:val="0"/>
              </w:numPr>
              <w:spacing w:line="400" w:lineRule="exact"/>
              <w:rPr>
                <w:rFonts w:hint="eastAsia" w:ascii="宋体" w:hAnsi="宋体" w:cs="宋体"/>
                <w:szCs w:val="21"/>
                <w:lang w:val="zh-CN"/>
              </w:rPr>
            </w:pPr>
            <w:r>
              <w:rPr>
                <w:rFonts w:hint="eastAsia" w:ascii="宋体" w:hAnsi="宋体" w:cs="宋体"/>
                <w:szCs w:val="21"/>
              </w:rPr>
              <w:t>（4）方案不能响应项目需求，相关内容合理性较差，不具有可操作性的或未提供的，得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kern w:val="1"/>
                <w:szCs w:val="21"/>
              </w:rPr>
            </w:pPr>
            <w:r>
              <w:rPr>
                <w:rFonts w:hint="eastAsia" w:ascii="宋体" w:hAnsi="宋体" w:cs="宋体"/>
                <w:kern w:val="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rPr>
            </w:pPr>
            <w:r>
              <w:rPr>
                <w:rFonts w:hint="eastAsia" w:ascii="宋体" w:hAnsi="宋体" w:cs="宋体"/>
                <w:szCs w:val="21"/>
              </w:rPr>
              <w:t>C2.2 根据投标人提供的税务区块链+医保缴费场景上线服务方案是否完整响应项目需求，是否详细、 合理，是否可操作进行综合打分。</w:t>
            </w:r>
          </w:p>
          <w:p>
            <w:pPr>
              <w:pStyle w:val="19"/>
              <w:numPr>
                <w:ilvl w:val="255"/>
                <w:numId w:val="0"/>
              </w:numPr>
              <w:rPr>
                <w:rFonts w:hint="eastAsia" w:ascii="宋体" w:hAnsi="宋体" w:cs="宋体"/>
                <w:szCs w:val="21"/>
              </w:rPr>
            </w:pPr>
            <w:r>
              <w:rPr>
                <w:rFonts w:hint="eastAsia" w:ascii="宋体" w:hAnsi="宋体" w:cs="宋体"/>
                <w:szCs w:val="21"/>
              </w:rPr>
              <w:t>（1）方案完整响应项目需求，相关内容详细、合理，可操作性强的，得 5 分；</w:t>
            </w:r>
          </w:p>
          <w:p>
            <w:pPr>
              <w:pStyle w:val="19"/>
              <w:numPr>
                <w:ilvl w:val="255"/>
                <w:numId w:val="0"/>
              </w:numPr>
              <w:rPr>
                <w:rFonts w:hint="eastAsia" w:ascii="宋体" w:hAnsi="宋体" w:cs="宋体"/>
                <w:szCs w:val="21"/>
              </w:rPr>
            </w:pPr>
            <w:r>
              <w:rPr>
                <w:rFonts w:hint="eastAsia" w:ascii="宋体" w:hAnsi="宋体" w:cs="宋体"/>
                <w:szCs w:val="21"/>
              </w:rPr>
              <w:t>（2）方案较为完整响应项目需求，相关内容较为详细、合理，可操作性较强的，得 3 分；</w:t>
            </w:r>
          </w:p>
          <w:p>
            <w:pPr>
              <w:pStyle w:val="19"/>
              <w:numPr>
                <w:ilvl w:val="255"/>
                <w:numId w:val="0"/>
              </w:numPr>
              <w:rPr>
                <w:rFonts w:hint="eastAsia" w:ascii="宋体" w:hAnsi="宋体" w:cs="宋体"/>
                <w:szCs w:val="21"/>
              </w:rPr>
            </w:pPr>
            <w:r>
              <w:rPr>
                <w:rFonts w:hint="eastAsia" w:ascii="宋体" w:hAnsi="宋体" w:cs="宋体"/>
                <w:szCs w:val="21"/>
              </w:rPr>
              <w:t>（3）方案基本响应项目需求，相关内容合理，可操作性一般的，得 1 分；</w:t>
            </w:r>
          </w:p>
          <w:p>
            <w:pPr>
              <w:pStyle w:val="19"/>
              <w:numPr>
                <w:ilvl w:val="255"/>
                <w:numId w:val="0"/>
              </w:numPr>
              <w:rPr>
                <w:rFonts w:hint="eastAsia" w:ascii="宋体" w:hAnsi="宋体" w:cs="宋体"/>
                <w:szCs w:val="21"/>
                <w:lang w:val="zh-CN"/>
              </w:rPr>
            </w:pPr>
            <w:r>
              <w:rPr>
                <w:rFonts w:hint="eastAsia" w:ascii="宋体" w:hAnsi="宋体" w:cs="宋体"/>
                <w:szCs w:val="21"/>
              </w:rPr>
              <w:t>（4）方案不能响应项目需求，相关内容合理性较差，不具有可操作性的或未提供的，得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8</w:t>
            </w:r>
          </w:p>
        </w:tc>
        <w:tc>
          <w:tcPr>
            <w:tcW w:w="770"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rPr>
            </w:pPr>
            <w:r>
              <w:rPr>
                <w:rFonts w:hint="eastAsia" w:ascii="宋体" w:hAnsi="宋体" w:cs="宋体"/>
                <w:szCs w:val="21"/>
              </w:rPr>
              <w:t>C2.3 根据投标人提供税务区块链+森林植被恢复费场景上线服务方案是否完整响应项目需求，是否详细、 合理，是否可操作进行综合打分。</w:t>
            </w:r>
          </w:p>
          <w:p>
            <w:pPr>
              <w:spacing w:line="400" w:lineRule="exact"/>
              <w:jc w:val="left"/>
              <w:textAlignment w:val="center"/>
              <w:rPr>
                <w:rFonts w:hint="eastAsia" w:ascii="宋体" w:hAnsi="宋体" w:cs="宋体"/>
                <w:szCs w:val="21"/>
              </w:rPr>
            </w:pPr>
            <w:r>
              <w:rPr>
                <w:rFonts w:hint="eastAsia" w:ascii="宋体" w:hAnsi="宋体" w:cs="宋体"/>
                <w:szCs w:val="21"/>
              </w:rPr>
              <w:t>（1）方案完整响应项目需求，相关内容详细、合理，可操作性强的，得 5 分；</w:t>
            </w:r>
          </w:p>
          <w:p>
            <w:pPr>
              <w:spacing w:line="400" w:lineRule="exact"/>
              <w:jc w:val="left"/>
              <w:textAlignment w:val="center"/>
              <w:rPr>
                <w:rFonts w:hint="eastAsia" w:ascii="宋体" w:hAnsi="宋体" w:cs="宋体"/>
                <w:szCs w:val="21"/>
              </w:rPr>
            </w:pPr>
            <w:r>
              <w:rPr>
                <w:rFonts w:hint="eastAsia" w:ascii="宋体" w:hAnsi="宋体" w:cs="宋体"/>
                <w:szCs w:val="21"/>
              </w:rPr>
              <w:t>（2）方案较为完整响应项目需求，相关内容较为详细、合理，可操作性较强的，得 3 分；</w:t>
            </w:r>
          </w:p>
          <w:p>
            <w:pPr>
              <w:spacing w:line="400" w:lineRule="exact"/>
              <w:jc w:val="left"/>
              <w:textAlignment w:val="center"/>
              <w:rPr>
                <w:rFonts w:hint="eastAsia" w:ascii="宋体" w:hAnsi="宋体" w:cs="宋体"/>
                <w:szCs w:val="21"/>
              </w:rPr>
            </w:pPr>
            <w:r>
              <w:rPr>
                <w:rFonts w:hint="eastAsia" w:ascii="宋体" w:hAnsi="宋体" w:cs="宋体"/>
                <w:szCs w:val="21"/>
              </w:rPr>
              <w:t>（3）方案基本响应项目需求，相关内容合理，可操作性一般的，得 1 分；</w:t>
            </w:r>
          </w:p>
          <w:p>
            <w:pPr>
              <w:spacing w:line="400" w:lineRule="exact"/>
              <w:jc w:val="left"/>
              <w:textAlignment w:val="center"/>
              <w:rPr>
                <w:rFonts w:hint="eastAsia" w:ascii="宋体" w:hAnsi="宋体" w:cs="宋体"/>
                <w:szCs w:val="21"/>
                <w:lang w:val="zh-CN"/>
              </w:rPr>
            </w:pPr>
            <w:r>
              <w:rPr>
                <w:rFonts w:hint="eastAsia" w:ascii="宋体" w:hAnsi="宋体" w:cs="宋体"/>
                <w:szCs w:val="21"/>
              </w:rPr>
              <w:t>（4）方案不能响应项目需求，相关内容合理性较差，不具有可操作性的或未提供的，得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9</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C2.4 根据投标人提供的税务区块链+海域使用金缴费场景上链服务方案是否完整响应项目需求，是否详细、 合理，是否可操作进行综合打分。</w:t>
            </w:r>
          </w:p>
          <w:p>
            <w:pPr>
              <w:spacing w:line="400" w:lineRule="exact"/>
              <w:jc w:val="left"/>
              <w:textAlignment w:val="center"/>
              <w:rPr>
                <w:rFonts w:hint="eastAsia" w:ascii="宋体" w:hAnsi="宋体" w:cs="宋体"/>
                <w:szCs w:val="21"/>
              </w:rPr>
            </w:pPr>
            <w:r>
              <w:rPr>
                <w:rFonts w:hint="eastAsia" w:ascii="宋体" w:hAnsi="宋体" w:cs="宋体"/>
                <w:szCs w:val="21"/>
              </w:rPr>
              <w:t>（1）方案完整响应项目需求，相关内容详细、合理，可操作性强的，得 5 分；</w:t>
            </w:r>
          </w:p>
          <w:p>
            <w:pPr>
              <w:spacing w:line="400" w:lineRule="exact"/>
              <w:jc w:val="left"/>
              <w:textAlignment w:val="center"/>
              <w:rPr>
                <w:rFonts w:hint="eastAsia" w:ascii="宋体" w:hAnsi="宋体" w:cs="宋体"/>
                <w:szCs w:val="21"/>
              </w:rPr>
            </w:pPr>
            <w:r>
              <w:rPr>
                <w:rFonts w:hint="eastAsia" w:ascii="宋体" w:hAnsi="宋体" w:cs="宋体"/>
                <w:szCs w:val="21"/>
              </w:rPr>
              <w:t>（2）方案较为完整响应项目需求，相关内容较为详细、合理，可操作性较强的，得 3 分；</w:t>
            </w:r>
          </w:p>
          <w:p>
            <w:pPr>
              <w:spacing w:line="400" w:lineRule="exact"/>
              <w:jc w:val="left"/>
              <w:textAlignment w:val="center"/>
              <w:rPr>
                <w:rFonts w:hint="eastAsia" w:ascii="宋体" w:hAnsi="宋体" w:cs="宋体"/>
                <w:szCs w:val="21"/>
              </w:rPr>
            </w:pPr>
            <w:r>
              <w:rPr>
                <w:rFonts w:hint="eastAsia" w:ascii="宋体" w:hAnsi="宋体" w:cs="宋体"/>
                <w:szCs w:val="21"/>
              </w:rPr>
              <w:t xml:space="preserve">（3）方案基本响应项目需求，相关内容合理，可操作性一般的，得 1 分；                                                    </w:t>
            </w:r>
          </w:p>
          <w:p>
            <w:pPr>
              <w:spacing w:line="400" w:lineRule="exact"/>
              <w:jc w:val="left"/>
              <w:textAlignment w:val="center"/>
              <w:rPr>
                <w:rFonts w:hint="eastAsia" w:ascii="宋体" w:hAnsi="宋体" w:cs="宋体"/>
                <w:szCs w:val="21"/>
                <w:lang w:val="zh-CN"/>
              </w:rPr>
            </w:pPr>
            <w:r>
              <w:rPr>
                <w:rFonts w:hint="eastAsia" w:ascii="宋体" w:hAnsi="宋体" w:cs="宋体"/>
                <w:szCs w:val="21"/>
              </w:rPr>
              <w:t>（4）方案不能响应项目需求，相关内容合理性较差，不具有可操作性的或未提供的，得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10</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rPr>
            </w:pPr>
            <w:r>
              <w:rPr>
                <w:rFonts w:hint="eastAsia" w:ascii="宋体" w:hAnsi="宋体" w:cs="宋体"/>
                <w:szCs w:val="21"/>
              </w:rPr>
              <w:t>C2.5 根据投标人提供的税务区块链+矿产资源专项收入缴费场景上链服务方案是否完整响应项目需求，是否详细、 合理，是否可操作进行综合打分。</w:t>
            </w:r>
          </w:p>
          <w:p>
            <w:pPr>
              <w:spacing w:line="400" w:lineRule="exact"/>
              <w:jc w:val="left"/>
              <w:textAlignment w:val="center"/>
              <w:rPr>
                <w:rFonts w:hint="eastAsia" w:ascii="宋体" w:hAnsi="宋体" w:cs="宋体"/>
                <w:szCs w:val="21"/>
              </w:rPr>
            </w:pPr>
            <w:r>
              <w:rPr>
                <w:rFonts w:hint="eastAsia" w:ascii="宋体" w:hAnsi="宋体" w:cs="宋体"/>
                <w:szCs w:val="21"/>
              </w:rPr>
              <w:t xml:space="preserve">（1）方案完整响应项目需求，相关内容详细、合理，可操作性强的，得 5 分； </w:t>
            </w:r>
          </w:p>
          <w:p>
            <w:pPr>
              <w:spacing w:line="400" w:lineRule="exact"/>
              <w:jc w:val="left"/>
              <w:textAlignment w:val="center"/>
              <w:rPr>
                <w:rFonts w:hint="eastAsia" w:ascii="宋体" w:hAnsi="宋体" w:cs="宋体"/>
                <w:szCs w:val="21"/>
              </w:rPr>
            </w:pPr>
            <w:r>
              <w:rPr>
                <w:rFonts w:hint="eastAsia" w:ascii="宋体" w:hAnsi="宋体" w:cs="宋体"/>
                <w:szCs w:val="21"/>
              </w:rPr>
              <w:t>（2）方案较为完整响应项目需求，相关内容较为详细、合理，可操作性较强的，得 3 分；</w:t>
            </w:r>
          </w:p>
          <w:p>
            <w:pPr>
              <w:spacing w:line="400" w:lineRule="exact"/>
              <w:jc w:val="left"/>
              <w:textAlignment w:val="center"/>
              <w:rPr>
                <w:rFonts w:hint="eastAsia" w:ascii="宋体" w:hAnsi="宋体" w:cs="宋体"/>
                <w:szCs w:val="21"/>
                <w:lang w:val="zh-CN"/>
              </w:rPr>
            </w:pPr>
            <w:r>
              <w:rPr>
                <w:rFonts w:hint="eastAsia" w:ascii="宋体" w:hAnsi="宋体" w:cs="宋体"/>
                <w:szCs w:val="21"/>
              </w:rPr>
              <w:t>（3）方案基本响应项目需求，相关内容合理，可操作性一般的，得 1 分；                                                （4）方案不能响应项目需求，相关内容合理性较差，不具有可操作性的或未提供的，得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11</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rPr>
            </w:pPr>
            <w:r>
              <w:rPr>
                <w:rFonts w:hint="eastAsia" w:ascii="宋体" w:hAnsi="宋体" w:cs="宋体"/>
                <w:szCs w:val="21"/>
              </w:rPr>
              <w:t xml:space="preserve">C2.6 根据投标人提供的税务区块链基础平台业务应用功能建设方案是否完整响应项目需求，是否详细、 合理，是否可操作进行综合打分。  </w:t>
            </w:r>
          </w:p>
          <w:p>
            <w:pPr>
              <w:spacing w:line="400" w:lineRule="exact"/>
              <w:jc w:val="left"/>
              <w:textAlignment w:val="center"/>
              <w:rPr>
                <w:rFonts w:hint="eastAsia" w:ascii="宋体" w:hAnsi="宋体" w:cs="宋体"/>
                <w:szCs w:val="21"/>
              </w:rPr>
            </w:pPr>
            <w:r>
              <w:rPr>
                <w:rFonts w:hint="eastAsia" w:ascii="宋体" w:hAnsi="宋体" w:cs="宋体"/>
                <w:szCs w:val="21"/>
              </w:rPr>
              <w:t>（1）方案完整响应项目需求，相关内容详细、合理，可操作性强的，得 5 分；                                                       （2）方案较为完整响应项目需求，相关内容较为详细、合理，可操作性较强的，得 3 分；</w:t>
            </w:r>
          </w:p>
          <w:p>
            <w:pPr>
              <w:pStyle w:val="19"/>
              <w:spacing w:line="400" w:lineRule="exact"/>
              <w:ind w:left="0" w:leftChars="0" w:firstLine="0"/>
              <w:rPr>
                <w:rFonts w:hint="eastAsia" w:ascii="宋体" w:hAnsi="宋体" w:cs="宋体"/>
                <w:szCs w:val="21"/>
              </w:rPr>
            </w:pPr>
            <w:r>
              <w:rPr>
                <w:rFonts w:hint="eastAsia" w:ascii="宋体" w:hAnsi="宋体" w:cs="宋体"/>
                <w:szCs w:val="21"/>
              </w:rPr>
              <w:t>（3）方案基本响应项目需求，相关内容合理，可操作性一般的，得 1 分；</w:t>
            </w:r>
          </w:p>
          <w:p>
            <w:pPr>
              <w:pStyle w:val="19"/>
              <w:spacing w:line="400" w:lineRule="exact"/>
              <w:ind w:left="0" w:leftChars="0" w:firstLine="0"/>
              <w:rPr>
                <w:rFonts w:hint="eastAsia" w:ascii="宋体" w:hAnsi="宋体" w:cs="宋体"/>
                <w:szCs w:val="21"/>
                <w:lang w:val="zh-CN"/>
              </w:rPr>
            </w:pPr>
            <w:r>
              <w:rPr>
                <w:rFonts w:hint="eastAsia" w:ascii="宋体" w:hAnsi="宋体" w:cs="宋体"/>
                <w:szCs w:val="21"/>
              </w:rPr>
              <w:t>（4）方案不能响应项目需求，相关内容合理性较差，不具有可操作性的或未提供的，得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12</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 xml:space="preserve">C2.7 根据投标人提供的等保测评及安全测试相关服务方案是否完整响应项目需求，是否详细、 合理，是否可操作进行综合打分。 </w:t>
            </w:r>
          </w:p>
          <w:p>
            <w:pPr>
              <w:numPr>
                <w:ilvl w:val="255"/>
                <w:numId w:val="0"/>
              </w:numPr>
              <w:spacing w:line="400" w:lineRule="exact"/>
              <w:ind w:right="88" w:rightChars="42"/>
              <w:jc w:val="left"/>
              <w:textAlignment w:val="center"/>
              <w:rPr>
                <w:rFonts w:hint="eastAsia" w:ascii="宋体" w:hAnsi="宋体" w:cs="宋体"/>
                <w:szCs w:val="21"/>
              </w:rPr>
            </w:pPr>
            <w:r>
              <w:rPr>
                <w:rFonts w:hint="eastAsia" w:ascii="宋体" w:hAnsi="宋体" w:cs="宋体"/>
                <w:szCs w:val="21"/>
              </w:rPr>
              <w:t>（1）方案完整响应项目需求，相关内容详细、合理，可操作性强的，得 5分；</w:t>
            </w:r>
          </w:p>
          <w:p>
            <w:pPr>
              <w:numPr>
                <w:ilvl w:val="255"/>
                <w:numId w:val="0"/>
              </w:numPr>
              <w:spacing w:line="400" w:lineRule="exact"/>
              <w:jc w:val="left"/>
              <w:textAlignment w:val="center"/>
              <w:rPr>
                <w:rFonts w:hint="eastAsia" w:ascii="宋体" w:hAnsi="宋体" w:cs="宋体"/>
                <w:szCs w:val="21"/>
              </w:rPr>
            </w:pPr>
            <w:r>
              <w:rPr>
                <w:rFonts w:hint="eastAsia" w:ascii="宋体" w:hAnsi="宋体" w:cs="宋体"/>
                <w:szCs w:val="21"/>
              </w:rPr>
              <w:t>（2）方案较为完整响应项目需求，相关内容较为详细、合理，可操作性较强的，得 3 分；</w:t>
            </w:r>
          </w:p>
          <w:p>
            <w:pPr>
              <w:snapToGrid w:val="0"/>
              <w:spacing w:line="400" w:lineRule="exact"/>
              <w:jc w:val="left"/>
              <w:rPr>
                <w:rFonts w:hint="eastAsia" w:ascii="宋体" w:hAnsi="宋体" w:cs="宋体"/>
                <w:szCs w:val="21"/>
                <w:lang w:val="zh-CN"/>
              </w:rPr>
            </w:pPr>
            <w:r>
              <w:rPr>
                <w:rFonts w:hint="eastAsia" w:ascii="宋体" w:hAnsi="宋体" w:cs="宋体"/>
                <w:szCs w:val="21"/>
              </w:rPr>
              <w:t>（3）方案基本响应项目需求，相关内容合理，可操作性一般的，得 1 分；                                                       （4）方案不能响应项目需求，相关内容合理性较差，不具有可操作性的或未提供的，得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C3服务方案（5分）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C3投标人提供的服务方案，包括但不限于服务范围、服务内容、服务方式、技术支持服务要求等要求做到完整、详细，具有可操作性。</w:t>
            </w:r>
          </w:p>
          <w:p>
            <w:pPr>
              <w:snapToGrid w:val="0"/>
              <w:spacing w:line="400" w:lineRule="exact"/>
              <w:jc w:val="left"/>
              <w:rPr>
                <w:rFonts w:hint="eastAsia" w:ascii="宋体" w:hAnsi="宋体" w:cs="宋体"/>
                <w:szCs w:val="21"/>
                <w:lang w:val="zh-CN"/>
              </w:rPr>
            </w:pPr>
            <w:r>
              <w:rPr>
                <w:rFonts w:hint="eastAsia" w:ascii="宋体" w:hAnsi="宋体" w:cs="宋体"/>
                <w:szCs w:val="21"/>
              </w:rPr>
              <w:t>（1）方案完整响应项目需求，相关内容完整、详细和可操作性强的，得 5 分；                                                       （2）方案较为完整响应项目需求，相关内容较为完整、详细，可操作性较强的，得 3 分；                                         （3）方案基本响应项目需求，相关内容完整性和可操作性一般的，得 1分；                                                       （4）方案不能响应项目需求，相关内容完整性较差，不具有可操作性的或未提供的，得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14</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C4部署实施方案（6分）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C4投标人提供的区块链基础链部署项目实施方案，包括但不限于实施进度计划、基础架构、部署方案、部署手册等要求做到完整、详细，具有可操作性。</w:t>
            </w:r>
          </w:p>
          <w:p>
            <w:pPr>
              <w:spacing w:line="400" w:lineRule="exact"/>
              <w:jc w:val="left"/>
              <w:textAlignment w:val="center"/>
              <w:rPr>
                <w:rFonts w:hint="eastAsia" w:ascii="宋体" w:hAnsi="宋体" w:cs="宋体"/>
                <w:szCs w:val="21"/>
              </w:rPr>
            </w:pPr>
            <w:r>
              <w:rPr>
                <w:rFonts w:hint="eastAsia" w:ascii="宋体" w:hAnsi="宋体" w:cs="宋体"/>
                <w:szCs w:val="21"/>
              </w:rPr>
              <w:t xml:space="preserve">（1）方案完整响应项目需求，相关内容完整、详细和可操作性强的，得6分；                                                       （2）方案较为完整响应项目需求，相关内容较为完整、详细，可操作性较强的，得4分；                                         </w:t>
            </w:r>
          </w:p>
          <w:p>
            <w:pPr>
              <w:snapToGrid w:val="0"/>
              <w:spacing w:line="400" w:lineRule="exact"/>
              <w:jc w:val="left"/>
              <w:rPr>
                <w:rFonts w:hint="eastAsia" w:ascii="宋体" w:hAnsi="宋体" w:cs="宋体"/>
                <w:szCs w:val="21"/>
                <w:lang w:val="zh-CN"/>
              </w:rPr>
            </w:pPr>
            <w:r>
              <w:rPr>
                <w:rFonts w:hint="eastAsia" w:ascii="宋体" w:hAnsi="宋体" w:cs="宋体"/>
                <w:szCs w:val="21"/>
              </w:rPr>
              <w:t>（3）方案基本响应项目需求，相关内容完整性和可操作性一般的，得2分；                                                       （4）方案不能响应项目需求，相关内容完整性较差，不具有可操作性的或未提供的，得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C5应用场景上线实施方案（6分）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C5投标人提供的区块链应用场景上线项目实施方案，包括但不限于实施进度计划、组织架构、人员保障、与特色软件等系统的衔接等要求做到完整、详细，具有可操作性。</w:t>
            </w:r>
          </w:p>
          <w:p>
            <w:pPr>
              <w:spacing w:line="400" w:lineRule="exact"/>
              <w:jc w:val="left"/>
              <w:textAlignment w:val="center"/>
              <w:rPr>
                <w:rFonts w:hint="eastAsia" w:ascii="宋体" w:hAnsi="宋体" w:cs="宋体"/>
                <w:szCs w:val="21"/>
              </w:rPr>
            </w:pPr>
            <w:r>
              <w:rPr>
                <w:rFonts w:hint="eastAsia" w:ascii="宋体" w:hAnsi="宋体" w:cs="宋体"/>
                <w:szCs w:val="21"/>
              </w:rPr>
              <w:t xml:space="preserve">（1）方案完整响应项目需求，相关内容完整、详细和可操作性强的，得6分；                                                       （2）方案较为完整响应项目需求，相关内容较为完整、详细，可操作性较强的，得 4分；                                        </w:t>
            </w:r>
          </w:p>
          <w:p>
            <w:pPr>
              <w:snapToGrid w:val="0"/>
              <w:spacing w:line="400" w:lineRule="exact"/>
              <w:jc w:val="left"/>
              <w:rPr>
                <w:rFonts w:hint="eastAsia" w:ascii="宋体" w:hAnsi="宋体" w:cs="宋体"/>
                <w:szCs w:val="21"/>
                <w:lang w:val="zh-CN"/>
              </w:rPr>
            </w:pPr>
            <w:r>
              <w:rPr>
                <w:rFonts w:hint="eastAsia" w:ascii="宋体" w:hAnsi="宋体" w:cs="宋体"/>
                <w:szCs w:val="21"/>
              </w:rPr>
              <w:t>（3）方案基本响应项目需求，相关内容完整性和可操作性一般的，得 2分；                                                      （4）方案不能响应项目需求，相关内容完整性较差，不具有可操作性的或未提供的，得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C6验收方案（4分）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C6投标人针对本项目（包1）提供的验收方案，内容包括但不限于验收内容、验收方式、验收流程、验收交付物等。</w:t>
            </w:r>
          </w:p>
          <w:p>
            <w:pPr>
              <w:numPr>
                <w:ilvl w:val="0"/>
                <w:numId w:val="5"/>
              </w:numPr>
              <w:spacing w:line="400" w:lineRule="exact"/>
              <w:jc w:val="left"/>
              <w:textAlignment w:val="center"/>
              <w:rPr>
                <w:rFonts w:hint="eastAsia" w:ascii="宋体" w:hAnsi="宋体" w:cs="宋体"/>
                <w:szCs w:val="21"/>
              </w:rPr>
            </w:pPr>
            <w:r>
              <w:rPr>
                <w:rFonts w:hint="eastAsia" w:ascii="宋体" w:hAnsi="宋体" w:cs="宋体"/>
                <w:szCs w:val="21"/>
              </w:rPr>
              <w:t>方案完整响应项目需求，相关内容完整、详细和可操作性强的，得 4分；</w:t>
            </w:r>
          </w:p>
          <w:p>
            <w:pPr>
              <w:numPr>
                <w:ilvl w:val="0"/>
                <w:numId w:val="5"/>
              </w:numPr>
              <w:spacing w:line="400" w:lineRule="exact"/>
              <w:jc w:val="left"/>
              <w:textAlignment w:val="center"/>
              <w:rPr>
                <w:rFonts w:hint="eastAsia" w:ascii="宋体" w:hAnsi="宋体" w:cs="宋体"/>
                <w:szCs w:val="21"/>
              </w:rPr>
            </w:pPr>
            <w:r>
              <w:rPr>
                <w:rFonts w:hint="eastAsia" w:ascii="宋体" w:hAnsi="宋体" w:cs="宋体"/>
                <w:szCs w:val="21"/>
              </w:rPr>
              <w:t xml:space="preserve">方案较为完整响应项目需求，相关内容较为完整、详细，可操作性较强的，得 2 分；                                       </w:t>
            </w:r>
          </w:p>
          <w:p>
            <w:pPr>
              <w:snapToGrid w:val="0"/>
              <w:spacing w:line="400" w:lineRule="exact"/>
              <w:jc w:val="left"/>
              <w:rPr>
                <w:rFonts w:hint="eastAsia" w:ascii="宋体" w:hAnsi="宋体" w:cs="宋体"/>
                <w:szCs w:val="21"/>
                <w:lang w:val="zh-CN"/>
              </w:rPr>
            </w:pPr>
            <w:r>
              <w:rPr>
                <w:rFonts w:hint="eastAsia" w:ascii="宋体" w:hAnsi="宋体" w:cs="宋体"/>
                <w:szCs w:val="21"/>
              </w:rPr>
              <w:t>（3）方案基本响应项目需求，相关内容完整性和可操作性一般的，得 1 分；                                                       （4）方案不能响应项目需求，相关内容完整性较差，不具有可操作性的或未提供的，得 0 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Fonts w:hint="eastAsia" w:ascii="宋体" w:hAnsi="宋体" w:cs="宋体"/>
                <w:szCs w:val="21"/>
              </w:rPr>
              <w:t>C7服务团队资质（8分）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pPr>
            <w:r>
              <w:rPr>
                <w:rFonts w:hint="eastAsia"/>
              </w:rPr>
              <w:t>C7.1投标人为本项目（包1）分派的项目经理在具有本科或以上学历的基础上，按以下标准进行评分：</w:t>
            </w:r>
          </w:p>
          <w:p>
            <w:pPr>
              <w:pStyle w:val="7"/>
            </w:pPr>
            <w:r>
              <w:rPr>
                <w:rFonts w:hint="eastAsia"/>
              </w:rPr>
              <w:t>1、具备10年及以上信息化建设经验，得2分，须同时提供①该人员具有相应年限的信息化建设经验的证明材料、②投标人为该人员在投标截止时间前六个月任意一个月缴纳的社保证明（投标截止时间当月成立的，无法提供为其缴纳社保费证明材料的投标人，提交社保增员时间材料视同满足本项社保条件要求）。该人员具有相应年限的信息化建设经验的证明材料包含：1、不限于与投标人签订的从事信息化建设经验等技术类岗位的劳动合同；2、用于计算在职时间的离职证明或在劳动合同所列单位的社保缴交证明。否则不得分。</w:t>
            </w:r>
          </w:p>
          <w:p>
            <w:pPr>
              <w:numPr>
                <w:ilvl w:val="255"/>
                <w:numId w:val="0"/>
              </w:numPr>
              <w:tabs>
                <w:tab w:val="left" w:pos="780"/>
              </w:tabs>
              <w:spacing w:line="400" w:lineRule="exact"/>
              <w:textAlignment w:val="center"/>
            </w:pPr>
            <w:r>
              <w:rPr>
                <w:rFonts w:hint="eastAsia"/>
              </w:rPr>
              <w:t>2、具备3个或以上项目管理经验证明，得2分；（须同时提供</w:t>
            </w:r>
            <w:r>
              <w:rPr>
                <w:rFonts w:hint="eastAsia" w:ascii="宋体" w:hAnsi="宋体" w:cs="宋体"/>
              </w:rPr>
              <w:t>①</w:t>
            </w:r>
            <w:r>
              <w:rPr>
                <w:rFonts w:hint="eastAsia"/>
              </w:rPr>
              <w:t>能证明该人员管理经验的相关材料，包括合同及对应的投标/响应文件复印件；或提供合同复印件及甲方开具的用户证明等）、</w:t>
            </w:r>
            <w:r>
              <w:rPr>
                <w:rFonts w:hint="eastAsia" w:ascii="宋体" w:hAnsi="宋体" w:cs="宋体"/>
              </w:rPr>
              <w:t>②</w:t>
            </w:r>
            <w:r>
              <w:rPr>
                <w:rFonts w:hint="eastAsia"/>
              </w:rPr>
              <w:t>提供投标截止时间前近6个月内任意一个月为其依法缴纳社保费的证明、</w:t>
            </w:r>
            <w:r>
              <w:rPr>
                <w:rFonts w:hint="eastAsia" w:ascii="宋体" w:hAnsi="宋体" w:cs="宋体"/>
              </w:rPr>
              <w:t>③</w:t>
            </w:r>
            <w:r>
              <w:rPr>
                <w:rFonts w:hint="eastAsia"/>
              </w:rPr>
              <w:t>提供学历复印件，否则不得分。投标截止时间当月成立的，无法提供为其缴纳社保费证明材料的投标人，提交社保增员时间材料视同满足本项社保条件要求）</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18</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C7.2 本项目（包1）投入服务团队成员（项目经理除外）具备区块链建设或者类似项目建设经验的，每提供一个得1分，最多得4分。（同时提供①能证明该人员建设经验的相关材料，包括合同及对应的投标/响应文件复印件；或提供合同复印件及甲方开具的用户证明等）、②投标截止时间前6个月内任意一个月为其依法缴纳社保费的证明。投标截止时间当月成立的，无法提供为其缴纳社保费证明材料的投标人，提交社保增员时间材料视同满足本项社保条件要求，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合     计</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 xml:space="preserve">100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宋体" w:hAnsi="宋体" w:cs="宋体"/>
                <w:b/>
                <w:bCs/>
                <w:kern w:val="0"/>
                <w:szCs w:val="21"/>
              </w:rPr>
            </w:pPr>
            <w:r>
              <w:rPr>
                <w:rFonts w:hint="eastAsia" w:ascii="宋体" w:hAnsi="宋体" w:cs="宋体"/>
                <w:bCs/>
                <w:szCs w:val="21"/>
              </w:rPr>
              <w:t>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topLinePunct/>
        <w:autoSpaceDE w:val="0"/>
        <w:autoSpaceDN w:val="0"/>
        <w:spacing w:line="400" w:lineRule="exact"/>
        <w:ind w:firstLine="420" w:firstLineChars="200"/>
        <w:rPr>
          <w:rFonts w:ascii="Times New Roman" w:hAnsi="Times New Roman"/>
          <w:szCs w:val="21"/>
        </w:rPr>
      </w:pPr>
    </w:p>
    <w:p>
      <w:pPr>
        <w:snapToGrid w:val="0"/>
        <w:spacing w:line="560" w:lineRule="exact"/>
        <w:ind w:firstLine="422" w:firstLineChars="200"/>
        <w:outlineLvl w:val="1"/>
        <w:rPr>
          <w:rFonts w:ascii="Times New Roman" w:hAnsi="Times New Roman"/>
          <w:b/>
          <w:bCs/>
          <w:szCs w:val="21"/>
        </w:rPr>
      </w:pPr>
      <w:r>
        <w:rPr>
          <w:rFonts w:ascii="Times New Roman" w:hAnsi="Times New Roman"/>
          <w:b/>
          <w:bCs/>
          <w:szCs w:val="21"/>
        </w:rPr>
        <w:t>2.2</w:t>
      </w:r>
      <w:r>
        <w:rPr>
          <w:rFonts w:hint="eastAsia" w:ascii="Times New Roman" w:hAnsi="Times New Roman"/>
          <w:b/>
          <w:bCs/>
          <w:szCs w:val="21"/>
        </w:rPr>
        <w:t>.2</w:t>
      </w:r>
      <w:r>
        <w:rPr>
          <w:rFonts w:ascii="Times New Roman" w:hAnsi="Times New Roman"/>
          <w:b/>
          <w:bCs/>
          <w:szCs w:val="21"/>
        </w:rPr>
        <w:t xml:space="preserve"> </w:t>
      </w:r>
      <w:r>
        <w:rPr>
          <w:rFonts w:hint="eastAsia" w:ascii="Times New Roman" w:hAnsi="Times New Roman"/>
          <w:b/>
          <w:bCs/>
          <w:szCs w:val="21"/>
        </w:rPr>
        <w:t>采购包2“社保费管理子系统及对账平台上下链、权益实时到账</w:t>
      </w:r>
      <w:r>
        <w:rPr>
          <w:rFonts w:hint="eastAsia" w:ascii="Times New Roman" w:hAnsi="Times New Roman"/>
          <w:b/>
          <w:bCs/>
          <w:szCs w:val="21"/>
          <w:lang w:val="en-US" w:eastAsia="zh-CN"/>
        </w:rPr>
        <w:t>服务</w:t>
      </w:r>
      <w:r>
        <w:rPr>
          <w:rFonts w:hint="eastAsia" w:ascii="Times New Roman" w:hAnsi="Times New Roman"/>
          <w:b/>
          <w:bCs/>
          <w:szCs w:val="21"/>
        </w:rPr>
        <w:t>”</w:t>
      </w:r>
    </w:p>
    <w:p>
      <w:pPr>
        <w:topLinePunct/>
        <w:autoSpaceDE w:val="0"/>
        <w:autoSpaceDN w:val="0"/>
        <w:spacing w:line="400" w:lineRule="exact"/>
        <w:ind w:firstLine="422" w:firstLineChars="200"/>
        <w:rPr>
          <w:rFonts w:hint="eastAsia" w:ascii="宋体" w:hAnsi="宋体" w:cs="宋体"/>
          <w:sz w:val="24"/>
        </w:rPr>
      </w:pPr>
      <w:r>
        <w:rPr>
          <w:rFonts w:ascii="Times New Roman" w:hAnsi="Times New Roman"/>
          <w:b/>
          <w:bCs/>
          <w:szCs w:val="21"/>
        </w:rPr>
        <w:t>价格分值为</w:t>
      </w:r>
      <w:r>
        <w:rPr>
          <w:rFonts w:ascii="Times New Roman" w:hAnsi="Times New Roman"/>
          <w:b/>
          <w:bCs/>
          <w:szCs w:val="21"/>
          <w:u w:val="single"/>
        </w:rPr>
        <w:t xml:space="preserve"> </w:t>
      </w:r>
      <w:r>
        <w:rPr>
          <w:rFonts w:hint="eastAsia" w:ascii="Times New Roman" w:hAnsi="Times New Roman"/>
          <w:b/>
          <w:bCs/>
          <w:szCs w:val="21"/>
          <w:u w:val="single"/>
        </w:rPr>
        <w:t>15</w:t>
      </w:r>
      <w:r>
        <w:rPr>
          <w:rFonts w:ascii="Times New Roman" w:hAnsi="Times New Roman"/>
          <w:b/>
          <w:bCs/>
          <w:szCs w:val="21"/>
          <w:u w:val="single"/>
        </w:rPr>
        <w:t xml:space="preserve"> </w:t>
      </w:r>
      <w:r>
        <w:rPr>
          <w:rFonts w:ascii="Times New Roman" w:hAnsi="Times New Roman"/>
          <w:b/>
          <w:bCs/>
          <w:szCs w:val="21"/>
        </w:rPr>
        <w:t>分，其余评审因素分值为</w:t>
      </w:r>
      <w:r>
        <w:rPr>
          <w:rFonts w:ascii="Times New Roman" w:hAnsi="Times New Roman"/>
          <w:b/>
          <w:bCs/>
          <w:szCs w:val="21"/>
          <w:u w:val="single"/>
        </w:rPr>
        <w:t xml:space="preserve"> </w:t>
      </w:r>
      <w:r>
        <w:rPr>
          <w:rFonts w:hint="eastAsia" w:ascii="Times New Roman" w:hAnsi="Times New Roman"/>
          <w:b/>
          <w:bCs/>
          <w:szCs w:val="21"/>
          <w:u w:val="single"/>
        </w:rPr>
        <w:t>85</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(其中商务因素</w:t>
      </w:r>
      <w:r>
        <w:rPr>
          <w:rFonts w:hint="eastAsia" w:ascii="Times New Roman" w:hAnsi="Times New Roman"/>
          <w:b/>
          <w:bCs/>
          <w:szCs w:val="21"/>
          <w:u w:val="single"/>
        </w:rPr>
        <w:t xml:space="preserve"> 11</w:t>
      </w:r>
      <w:r>
        <w:rPr>
          <w:rFonts w:ascii="Times New Roman" w:hAnsi="Times New Roman"/>
          <w:b/>
          <w:bCs/>
          <w:szCs w:val="21"/>
        </w:rPr>
        <w:t>分</w:t>
      </w:r>
      <w:r>
        <w:rPr>
          <w:rFonts w:hint="eastAsia" w:ascii="Times New Roman" w:hAnsi="Times New Roman"/>
          <w:b/>
          <w:bCs/>
          <w:szCs w:val="21"/>
        </w:rPr>
        <w:t>，技术因素</w:t>
      </w:r>
      <w:r>
        <w:rPr>
          <w:rFonts w:hint="eastAsia" w:ascii="Times New Roman" w:hAnsi="Times New Roman"/>
          <w:b/>
          <w:bCs/>
          <w:szCs w:val="21"/>
          <w:u w:val="single"/>
        </w:rPr>
        <w:t xml:space="preserve"> 74</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w:t>
      </w:r>
      <w:r>
        <w:rPr>
          <w:rFonts w:ascii="Times New Roman" w:hAnsi="Times New Roman"/>
          <w:b/>
          <w:bCs/>
          <w:szCs w:val="21"/>
        </w:rPr>
        <w:t>。评审标准如下表</w:t>
      </w:r>
      <w:r>
        <w:rPr>
          <w:rFonts w:hint="eastAsia" w:ascii="宋体" w:hAnsi="宋体" w:cs="宋体"/>
          <w:b/>
          <w:bCs/>
          <w:sz w:val="24"/>
        </w:rPr>
        <w:t>：</w:t>
      </w:r>
    </w:p>
    <w:tbl>
      <w:tblPr>
        <w:tblStyle w:val="24"/>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770"/>
        <w:gridCol w:w="1238"/>
        <w:gridCol w:w="5677"/>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主要内容</w:t>
            </w:r>
          </w:p>
        </w:tc>
        <w:tc>
          <w:tcPr>
            <w:tcW w:w="567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细项</w:t>
            </w:r>
          </w:p>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投标报价</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A</w:t>
            </w:r>
            <w:r>
              <w:rPr>
                <w:rFonts w:hint="eastAsia" w:asciiTheme="minorEastAsia" w:hAnsiTheme="minorEastAsia" w:eastAsiaTheme="minorEastAsia" w:cstheme="minorEastAsia"/>
                <w:szCs w:val="21"/>
                <w:lang w:val="zh-CN"/>
              </w:rPr>
              <w:t>价格</w:t>
            </w: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31"/>
              <w:widowControl w:val="0"/>
              <w:spacing w:line="400" w:lineRule="exact"/>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投标报价得分=（评标基准价／投标报价）× 满分值</w:t>
            </w:r>
          </w:p>
          <w:p>
            <w:pPr>
              <w:pStyle w:val="31"/>
              <w:widowControl w:val="0"/>
              <w:spacing w:line="400" w:lineRule="exact"/>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（1）评标基准价是指满足招标文件要求且投标价格最低的投标报价。</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（2）因落实政府采购政策进行价格调整的，以调整后的价格计算评标基准价和投标报价。</w:t>
            </w:r>
          </w:p>
          <w:p>
            <w:pPr>
              <w:pStyle w:val="30"/>
              <w:spacing w:line="40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商务因素</w:t>
            </w:r>
          </w:p>
        </w:tc>
        <w:tc>
          <w:tcPr>
            <w:tcW w:w="1238" w:type="dxa"/>
            <w:tcBorders>
              <w:top w:val="single" w:color="auto" w:sz="4" w:space="0"/>
              <w:left w:val="single" w:color="auto" w:sz="4" w:space="0"/>
              <w:right w:val="single" w:color="auto" w:sz="4" w:space="0"/>
            </w:tcBorders>
            <w:noWrap/>
            <w:vAlign w:val="center"/>
          </w:tcPr>
          <w:p>
            <w:pPr>
              <w:spacing w:line="40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B1投标人综合实力（6分）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B1</w:t>
            </w:r>
            <w:r>
              <w:rPr>
                <w:rFonts w:hint="eastAsia" w:asciiTheme="minorEastAsia" w:hAnsiTheme="minorEastAsia" w:eastAsiaTheme="minorEastAsia" w:cstheme="minorEastAsia"/>
                <w:szCs w:val="21"/>
              </w:rPr>
              <w:t>投标人是否具有有效的ISO质量管理体系认证证书、ISO IT服务管理体系认证证书及ISO信息安全管理体系认证证书，每提供一项得2分，满分6分。（提供证书编号及查询网址或者提供有效的证书复印件，否则不得分）。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B2</w:t>
            </w:r>
            <w:r>
              <w:rPr>
                <w:rStyle w:val="42"/>
                <w:rFonts w:asciiTheme="minorEastAsia" w:hAnsiTheme="minorEastAsia" w:eastAsiaTheme="minorEastAsia" w:cstheme="minorEastAsia"/>
                <w:b w:val="0"/>
                <w:bCs w:val="0"/>
                <w:color w:val="auto"/>
                <w:sz w:val="21"/>
                <w:szCs w:val="21"/>
              </w:rPr>
              <w:t>投标人类似项目成功案例</w:t>
            </w:r>
            <w:r>
              <w:rPr>
                <w:rFonts w:hint="eastAsia" w:asciiTheme="minorEastAsia" w:hAnsiTheme="minorEastAsia" w:eastAsiaTheme="minorEastAsia" w:cstheme="minorEastAsia"/>
                <w:szCs w:val="21"/>
              </w:rPr>
              <w:t>（5分）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B2</w:t>
            </w:r>
            <w:r>
              <w:rPr>
                <w:rStyle w:val="42"/>
                <w:rFonts w:asciiTheme="minorEastAsia" w:hAnsiTheme="minorEastAsia" w:eastAsiaTheme="minorEastAsia" w:cstheme="minorEastAsia"/>
                <w:b w:val="0"/>
                <w:bCs w:val="0"/>
                <w:color w:val="auto"/>
                <w:sz w:val="21"/>
                <w:szCs w:val="21"/>
              </w:rPr>
              <w:t>根据投标人提供的2021年1月1日至今承担的业务系统（基于互联网为社会公众提供服务的业务办理系统）软件开发类案例证明文件进行评分。案例证明需提供合同关键页复印件加盖投标人公章（无法识别合同类型的将不予认定）。每提供1个案例得1分，最多得5分。需提供项目案例证明资料（包括中标通知书、合同、验收报告或用户证明材料等复印件并加盖投标人公章，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技术因素</w:t>
            </w: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C1项目需求理解（12分）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color w:val="auto"/>
                <w:sz w:val="21"/>
                <w:szCs w:val="21"/>
              </w:rPr>
              <w:t xml:space="preserve">C1.1 </w:t>
            </w:r>
            <w:r>
              <w:rPr>
                <w:rFonts w:hint="eastAsia" w:asciiTheme="minorEastAsia" w:hAnsiTheme="minorEastAsia" w:eastAsiaTheme="minorEastAsia" w:cstheme="minorEastAsia"/>
                <w:szCs w:val="21"/>
              </w:rPr>
              <w:t>根据投标人对福建税务2024年税费业务场景区块链基础平台应用推广项目（包2）采购需求和社保费征管相关业务背景、业务需求的熟悉情况和理解程度进行综合打分。方案理解全面、深入，描述准确，得6分；方案理解较为全面，描述较为准确，得3分；方案理解存在一定偏差，描述不够全面，得1分；理解存在严重偏差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color w:val="auto"/>
                <w:sz w:val="21"/>
                <w:szCs w:val="21"/>
              </w:rPr>
              <w:t xml:space="preserve">C1.2 </w:t>
            </w:r>
            <w:r>
              <w:rPr>
                <w:rFonts w:hint="eastAsia" w:asciiTheme="minorEastAsia" w:hAnsiTheme="minorEastAsia" w:eastAsiaTheme="minorEastAsia" w:cstheme="minorEastAsia"/>
                <w:szCs w:val="21"/>
              </w:rPr>
              <w:t>根据投标人对福建税务2024年税费业务场景区块链基础平台应用推广项目（包2）涉及信息系统的运行环境、系统设计、业务功能等情况的理解和熟悉程序进行综合打分。理解全面、深入，描述准确，得6分；理解较为全面，描述较为准确，得3分；理解存在一定偏差，描述不够全面，得1分；理解存在严重偏差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C2总体设计方案</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 xml:space="preserve">C2.1 </w:t>
            </w:r>
            <w:r>
              <w:rPr>
                <w:rFonts w:asciiTheme="minorEastAsia" w:hAnsiTheme="minorEastAsia" w:eastAsiaTheme="minorEastAsia" w:cstheme="minorEastAsia"/>
                <w:szCs w:val="21"/>
              </w:rPr>
              <w:t>投标人应根据福建税务2024年税费业务场景区块链基础平台应用推广项目（包2）建设需求提供设计方案，设计方案包含系统架构图、技术路线、详细数据结构设计等主要的设计方案。投标人的设计方案方案全面合理、针对性强、满足并优于业务需求且可行性高的得6分；方案与针对性基本合理、满足业务需求且基本可行的得3分；方案不够完整、针对性不够强、可行性不够高的得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19"/>
              <w:spacing w:line="400" w:lineRule="exact"/>
              <w:ind w:left="0" w:leftChars="0" w:firstLine="0"/>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color w:val="auto"/>
                <w:sz w:val="21"/>
                <w:szCs w:val="21"/>
              </w:rPr>
              <w:t xml:space="preserve">C2.2 </w:t>
            </w:r>
            <w:r>
              <w:rPr>
                <w:rFonts w:hint="eastAsia" w:asciiTheme="minorEastAsia" w:hAnsiTheme="minorEastAsia" w:eastAsiaTheme="minorEastAsia" w:cstheme="minorEastAsia"/>
                <w:szCs w:val="21"/>
              </w:rPr>
              <w:t>投标人根据福建税务2024年税费业务场景区块链基础平台应用推广项目（包2）建设需求提供设计方案，结合项目安全要求，从数据、应用、接口三个方面提供详细和可行的安全保障方案，进行综合打分。安全保障方案描述内容完整准确、思路清晰，得6分；安全保障方案描述内容较为完整，思路较清晰的，得3分；描述方案内容有缺漏或仅笼统描述的，得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770"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C3开发实施方案（20分）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color w:val="auto"/>
                <w:sz w:val="21"/>
                <w:szCs w:val="21"/>
              </w:rPr>
              <w:t xml:space="preserve">C3.1 </w:t>
            </w:r>
            <w:r>
              <w:rPr>
                <w:rFonts w:hint="eastAsia" w:asciiTheme="minorEastAsia" w:hAnsiTheme="minorEastAsia" w:eastAsiaTheme="minorEastAsia" w:cstheme="minorEastAsia"/>
                <w:szCs w:val="21"/>
              </w:rPr>
              <w:t>根据投标人针对本项目（包2）提供实施方案中的项目每阶段方法、计划、任务的清晰程度和合理性。投标人提供方案详细、科学、合理,具有较强的可操作性，得5分；方案较为详细、科学、合理，可操作性较好,得3分；方案基本详细、科学、合理，没有很好的细化，可操作性一般,得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color w:val="auto"/>
                <w:sz w:val="21"/>
                <w:szCs w:val="21"/>
              </w:rPr>
              <w:t xml:space="preserve">C3.2 </w:t>
            </w:r>
            <w:r>
              <w:rPr>
                <w:rFonts w:hint="eastAsia" w:asciiTheme="minorEastAsia" w:hAnsiTheme="minorEastAsia" w:eastAsiaTheme="minorEastAsia" w:cstheme="minorEastAsia"/>
                <w:szCs w:val="21"/>
              </w:rPr>
              <w:t>根据投标人针对本项目（包2）提供实施方案中的项目组织健全程度和职责分工是否明确，方案是否能够满足时限要求。投标人提供方案项目组织健全合理、职责分工十分清晰明确，在时限要求范围内做到实施效率高、交付快的得5分；方案项目组织较健全、职责分工较明确，在时限要求范围内做到实施效率较高、交付较快的得3分；方案项目组织基本健全、职责分工基本明确，基本满足时限要求的得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color w:val="auto"/>
                <w:sz w:val="21"/>
                <w:szCs w:val="21"/>
              </w:rPr>
              <w:t xml:space="preserve">C3.3 </w:t>
            </w:r>
            <w:r>
              <w:rPr>
                <w:rFonts w:hint="eastAsia" w:asciiTheme="minorEastAsia" w:hAnsiTheme="minorEastAsia" w:eastAsiaTheme="minorEastAsia" w:cstheme="minorEastAsia"/>
                <w:szCs w:val="21"/>
              </w:rPr>
              <w:t>根据投标人针对本项目（包2）提供实施方案中对项目的信息安全风险认知及预防措施进行评分。投标人对项目的信息安全风险认知及预防措施详细、科学、合理得5分；方案较</w:t>
            </w:r>
            <w:r>
              <w:rPr>
                <w:rFonts w:hint="eastAsia" w:asciiTheme="minorEastAsia" w:hAnsiTheme="minorEastAsia" w:eastAsiaTheme="minorEastAsia" w:cstheme="minorEastAsia"/>
                <w:spacing w:val="-2"/>
                <w:szCs w:val="21"/>
              </w:rPr>
              <w:t>完整、信息安全风险认知较到位、预防措施较完善的</w:t>
            </w:r>
            <w:r>
              <w:rPr>
                <w:rFonts w:hint="eastAsia" w:asciiTheme="minorEastAsia" w:hAnsiTheme="minorEastAsia" w:eastAsiaTheme="minorEastAsia" w:cstheme="minorEastAsia"/>
                <w:szCs w:val="21"/>
              </w:rPr>
              <w:t>得3分；方案基本</w:t>
            </w:r>
            <w:r>
              <w:rPr>
                <w:rFonts w:hint="eastAsia" w:asciiTheme="minorEastAsia" w:hAnsiTheme="minorEastAsia" w:eastAsiaTheme="minorEastAsia" w:cstheme="minorEastAsia"/>
                <w:spacing w:val="-2"/>
                <w:szCs w:val="21"/>
              </w:rPr>
              <w:t>完整、信息安全风险认知基本到位、预防措施基本完善的</w:t>
            </w:r>
            <w:r>
              <w:rPr>
                <w:rFonts w:hint="eastAsia" w:asciiTheme="minorEastAsia" w:hAnsiTheme="minorEastAsia" w:eastAsiaTheme="minorEastAsia" w:cstheme="minorEastAsia"/>
                <w:szCs w:val="21"/>
              </w:rPr>
              <w:t>得1分；未提供的不得分。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hint="eastAsia" w:asciiTheme="minorEastAsia" w:hAnsiTheme="minorEastAsia" w:eastAsiaTheme="minorEastAsia" w:cstheme="minorEastAsia"/>
                <w:spacing w:val="-2"/>
                <w:szCs w:val="21"/>
              </w:rPr>
            </w:pPr>
            <w:r>
              <w:rPr>
                <w:rStyle w:val="42"/>
                <w:rFonts w:asciiTheme="minorEastAsia" w:hAnsiTheme="minorEastAsia" w:eastAsiaTheme="minorEastAsia" w:cstheme="minorEastAsia"/>
                <w:color w:val="auto"/>
                <w:sz w:val="21"/>
                <w:szCs w:val="21"/>
              </w:rPr>
              <w:t xml:space="preserve">C3.4 </w:t>
            </w:r>
            <w:r>
              <w:rPr>
                <w:rFonts w:hint="eastAsia" w:asciiTheme="minorEastAsia" w:hAnsiTheme="minorEastAsia" w:eastAsiaTheme="minorEastAsia" w:cstheme="minorEastAsia"/>
                <w:spacing w:val="-2"/>
                <w:szCs w:val="21"/>
              </w:rPr>
              <w:t>投标人应根据项目（包2）建设要求提供与采购人现有</w:t>
            </w:r>
            <w:r>
              <w:rPr>
                <w:rFonts w:hint="eastAsia" w:asciiTheme="minorEastAsia" w:hAnsiTheme="minorEastAsia" w:eastAsiaTheme="minorEastAsia" w:cstheme="minorEastAsia"/>
                <w:szCs w:val="21"/>
              </w:rPr>
              <w:t>金税三期社保标准版系统</w:t>
            </w:r>
            <w:r>
              <w:rPr>
                <w:rFonts w:hint="eastAsia" w:asciiTheme="minorEastAsia" w:hAnsiTheme="minorEastAsia" w:eastAsiaTheme="minorEastAsia" w:cstheme="minorEastAsia"/>
                <w:spacing w:val="-2"/>
                <w:szCs w:val="21"/>
              </w:rPr>
              <w:t>的衔接实施方案，详细说明如何在现有</w:t>
            </w:r>
            <w:r>
              <w:rPr>
                <w:rFonts w:hint="eastAsia" w:asciiTheme="minorEastAsia" w:hAnsiTheme="minorEastAsia" w:eastAsiaTheme="minorEastAsia" w:cstheme="minorEastAsia"/>
                <w:szCs w:val="21"/>
              </w:rPr>
              <w:t>金税三期社保标准版系统</w:t>
            </w:r>
            <w:r>
              <w:rPr>
                <w:rFonts w:hint="eastAsia" w:asciiTheme="minorEastAsia" w:hAnsiTheme="minorEastAsia" w:eastAsiaTheme="minorEastAsia" w:cstheme="minorEastAsia"/>
                <w:spacing w:val="-2"/>
                <w:szCs w:val="21"/>
              </w:rPr>
              <w:t>的基础上保障本项目实施过程平滑过渡、业务办理不中断，确保系统平稳运行。</w:t>
            </w:r>
          </w:p>
          <w:p>
            <w:pPr>
              <w:spacing w:line="400" w:lineRule="exact"/>
              <w:ind w:firstLine="412" w:firstLineChars="200"/>
              <w:jc w:val="lef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pacing w:val="-2"/>
                <w:szCs w:val="21"/>
              </w:rPr>
              <w:t>投标人提供的方案全面、保障措施具体、描述准确且满足需求的得5分；方案较为全面、保障措施较为具体、描述较为准确的得3分；方案基本完整，保障措施描述不够到位但经评标委员会认定适用于本项目的得1分；其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C4验收方案（5分）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pacing w:val="-2"/>
                <w:szCs w:val="21"/>
              </w:rPr>
            </w:pPr>
            <w:r>
              <w:rPr>
                <w:rStyle w:val="42"/>
                <w:rFonts w:asciiTheme="minorEastAsia" w:hAnsiTheme="minorEastAsia" w:eastAsiaTheme="minorEastAsia" w:cstheme="minorEastAsia"/>
                <w:b w:val="0"/>
                <w:bCs w:val="0"/>
                <w:color w:val="auto"/>
                <w:sz w:val="21"/>
                <w:szCs w:val="21"/>
              </w:rPr>
              <w:t>C4</w:t>
            </w:r>
            <w:r>
              <w:rPr>
                <w:rFonts w:hint="eastAsia" w:asciiTheme="minorEastAsia" w:hAnsiTheme="minorEastAsia" w:eastAsiaTheme="minorEastAsia" w:cstheme="minorEastAsia"/>
                <w:spacing w:val="-2"/>
                <w:szCs w:val="21"/>
              </w:rPr>
              <w:t>投标人应根据项目（包2）需求提供验收方案，方案包括验收标准、验收流程、验收中出现问题的解决办法和补救措施等内容。</w:t>
            </w:r>
          </w:p>
          <w:p>
            <w:pPr>
              <w:spacing w:line="400" w:lineRule="exact"/>
              <w:ind w:firstLine="412" w:firstLineChars="200"/>
              <w:jc w:val="left"/>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pacing w:val="-2"/>
                <w:szCs w:val="21"/>
              </w:rPr>
              <w:t>方案包含以上要点，内容与要点相符、且措施具体的得5分；方案所包含的要点齐全、内容与要点相符，内容相对简略，但具有可操作性的得3分；方案所包含的要点有缺漏或仅笼统描述无具体措施的得1分，未提供方案或方案内容有明显错误与项目情况不相符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C5知识转移方案（5分）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pacing w:val="-2"/>
                <w:szCs w:val="21"/>
              </w:rPr>
            </w:pPr>
            <w:r>
              <w:rPr>
                <w:rStyle w:val="42"/>
                <w:rFonts w:asciiTheme="minorEastAsia" w:hAnsiTheme="minorEastAsia" w:eastAsiaTheme="minorEastAsia" w:cstheme="minorEastAsia"/>
                <w:b w:val="0"/>
                <w:bCs w:val="0"/>
                <w:color w:val="auto"/>
                <w:sz w:val="21"/>
                <w:szCs w:val="21"/>
              </w:rPr>
              <w:t>C5</w:t>
            </w:r>
            <w:r>
              <w:rPr>
                <w:rFonts w:hint="eastAsia" w:asciiTheme="minorEastAsia" w:hAnsiTheme="minorEastAsia" w:eastAsiaTheme="minorEastAsia" w:cstheme="minorEastAsia"/>
                <w:spacing w:val="-2"/>
                <w:szCs w:val="21"/>
              </w:rPr>
              <w:t>投标人应针对本项目（包2）提供知识转移方案，方案包括投标人应转移的知识内容、转移形式、转移要求及时限等，包括代码、相关文档和开发产出物等内容。</w:t>
            </w:r>
          </w:p>
          <w:p>
            <w:pPr>
              <w:spacing w:line="400" w:lineRule="exact"/>
              <w:ind w:firstLine="412" w:firstLineChars="200"/>
              <w:jc w:val="lef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pacing w:val="-2"/>
                <w:szCs w:val="21"/>
              </w:rPr>
              <w:t>方案包含以上内容且方案全面、适用、满足招标需求，得5分；方案包含以上内容且较全面、适用性良好，得3分；</w:t>
            </w:r>
            <w:r>
              <w:rPr>
                <w:rFonts w:hint="eastAsia" w:asciiTheme="minorEastAsia" w:hAnsiTheme="minorEastAsia" w:eastAsiaTheme="minorEastAsia" w:cstheme="minorEastAsia"/>
                <w:szCs w:val="21"/>
              </w:rPr>
              <w:t>方案内容一般，合理性一般1分；</w:t>
            </w:r>
            <w:r>
              <w:rPr>
                <w:rFonts w:hint="eastAsia" w:asciiTheme="minorEastAsia" w:hAnsiTheme="minorEastAsia" w:eastAsiaTheme="minorEastAsia" w:cstheme="minorEastAsia"/>
                <w:spacing w:val="-2"/>
                <w:szCs w:val="21"/>
              </w:rPr>
              <w:t>方案有缺失得0分。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C6售后服务方案（5分）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b w:val="0"/>
                <w:bCs w:val="0"/>
                <w:color w:val="auto"/>
                <w:sz w:val="21"/>
                <w:szCs w:val="21"/>
              </w:rPr>
              <w:t>C6</w:t>
            </w:r>
            <w:r>
              <w:rPr>
                <w:rFonts w:hint="eastAsia" w:asciiTheme="minorEastAsia" w:hAnsiTheme="minorEastAsia" w:eastAsiaTheme="minorEastAsia" w:cstheme="minorEastAsia"/>
                <w:szCs w:val="21"/>
              </w:rPr>
              <w:t>投标人针对福建税务2024年税费业务场景区块链基础平台应用推广项目（包2）提出详细的售后服务方案，售后服务流程、应急预案、质量保障等进行综合打分。售后服务方案内容完整合理得5分；售后服务方案内容比较完整合理得3分；售后服务方案内容一般，合理性一般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pStyle w:val="11"/>
              <w:spacing w:line="400" w:lineRule="exact"/>
              <w:jc w:val="center"/>
              <w:rPr>
                <w:rStyle w:val="42"/>
                <w:rFonts w:hint="default" w:asciiTheme="minorEastAsia" w:hAnsiTheme="minorEastAsia" w:eastAsiaTheme="minorEastAsia" w:cstheme="minorEastAsia"/>
                <w:b w:val="0"/>
                <w:bCs w:val="0"/>
                <w:color w:val="auto"/>
                <w:kern w:val="0"/>
                <w:sz w:val="21"/>
                <w:szCs w:val="21"/>
              </w:rPr>
            </w:pPr>
            <w:r>
              <w:rPr>
                <w:rStyle w:val="42"/>
                <w:rFonts w:asciiTheme="minorEastAsia" w:hAnsiTheme="minorEastAsia" w:eastAsiaTheme="minorEastAsia" w:cstheme="minorEastAsia"/>
                <w:b w:val="0"/>
                <w:bCs w:val="0"/>
                <w:color w:val="auto"/>
                <w:kern w:val="0"/>
                <w:sz w:val="21"/>
                <w:szCs w:val="21"/>
              </w:rPr>
              <w:t xml:space="preserve">C7应急处置能力和保障方案              </w:t>
            </w:r>
          </w:p>
          <w:p>
            <w:pPr>
              <w:spacing w:line="400" w:lineRule="exact"/>
              <w:jc w:val="center"/>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pacing w:val="-2"/>
                <w:szCs w:val="21"/>
                <w:lang w:val="zh-CN"/>
              </w:rPr>
            </w:pPr>
            <w:r>
              <w:rPr>
                <w:rStyle w:val="42"/>
                <w:rFonts w:asciiTheme="minorEastAsia" w:hAnsiTheme="minorEastAsia" w:eastAsiaTheme="minorEastAsia" w:cstheme="minorEastAsia"/>
                <w:b w:val="0"/>
                <w:bCs w:val="0"/>
                <w:color w:val="auto"/>
                <w:kern w:val="0"/>
                <w:sz w:val="21"/>
                <w:szCs w:val="21"/>
              </w:rPr>
              <w:t>C7</w:t>
            </w:r>
            <w:r>
              <w:rPr>
                <w:rFonts w:hint="eastAsia" w:asciiTheme="minorEastAsia" w:hAnsiTheme="minorEastAsia" w:eastAsiaTheme="minorEastAsia" w:cstheme="minorEastAsia"/>
                <w:spacing w:val="-2"/>
                <w:szCs w:val="21"/>
              </w:rPr>
              <w:t>根据投标人对在项目（包2）实施过程中出现紧急情况的应对方案的科学性、完整性、详细性、可操作性及后台技术支持保障团队能力进行打分。应对方案科学详细、可操作性强，后台技术支持保障强的得5分；应对方案较为科学详细、具有一定的可操作性，后台技术支持保障可行的得3分；应对方案基本完整、可操作性一般，后台技术支持保障较弱的得1分；未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C8人员保障方案（10分）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color w:val="auto"/>
                <w:sz w:val="21"/>
                <w:szCs w:val="21"/>
              </w:rPr>
              <w:t xml:space="preserve">C8.1 </w:t>
            </w:r>
            <w:r>
              <w:rPr>
                <w:rFonts w:hint="eastAsia" w:asciiTheme="minorEastAsia" w:hAnsiTheme="minorEastAsia" w:eastAsiaTheme="minorEastAsia" w:cstheme="minorEastAsia"/>
                <w:spacing w:val="-2"/>
                <w:szCs w:val="21"/>
              </w:rPr>
              <w:t>投标人针对本项目（包2）提供的项目组织机构、人员职责和分工是否明确，是否有详细的人员培训、考核、激励制度、人员整合与对接等。方案包含以上内容且全面、适用,得5分；方案包含以上内容且较为适用的得3分；方案包含以上部分内容、实用性一般的得1分；方案不适用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7"/>
              <w:spacing w:line="400" w:lineRule="exact"/>
              <w:textAlignment w:val="center"/>
              <w:rPr>
                <w:rFonts w:hint="eastAsia" w:asciiTheme="minorEastAsia" w:hAnsiTheme="minorEastAsia" w:eastAsiaTheme="minorEastAsia" w:cstheme="minorEastAsia"/>
                <w:szCs w:val="21"/>
              </w:rPr>
            </w:pPr>
            <w:r>
              <w:rPr>
                <w:rStyle w:val="42"/>
                <w:rFonts w:asciiTheme="minorEastAsia" w:hAnsiTheme="minorEastAsia" w:eastAsiaTheme="minorEastAsia" w:cstheme="minorEastAsia"/>
                <w:color w:val="auto"/>
                <w:sz w:val="21"/>
                <w:szCs w:val="21"/>
              </w:rPr>
              <w:t xml:space="preserve">C8.2 </w:t>
            </w:r>
            <w:r>
              <w:rPr>
                <w:rFonts w:hint="eastAsia" w:asciiTheme="minorEastAsia" w:hAnsiTheme="minorEastAsia" w:eastAsiaTheme="minorEastAsia" w:cstheme="minorEastAsia"/>
                <w:szCs w:val="21"/>
              </w:rPr>
              <w:t>拟投入本项目（包2）的项目经理满足以下条件：</w:t>
            </w:r>
          </w:p>
          <w:p>
            <w:pPr>
              <w:pStyle w:val="7"/>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（1）具有硕士及以上学历，得2分，满分2分；（提供学历证书复印件并加盖公章，否则不得分）</w:t>
            </w:r>
          </w:p>
          <w:p>
            <w:pPr>
              <w:pStyle w:val="7"/>
              <w:widowControl/>
              <w:numPr>
                <w:ilvl w:val="255"/>
                <w:numId w:val="0"/>
              </w:numPr>
            </w:pPr>
            <w:r>
              <w:rPr>
                <w:rFonts w:hint="eastAsia" w:asciiTheme="minorEastAsia" w:hAnsiTheme="minorEastAsia" w:eastAsiaTheme="minorEastAsia" w:cstheme="minorEastAsia"/>
                <w:szCs w:val="21"/>
              </w:rPr>
              <w:t>（2）具备10年及以上信息化建设工作经验的，得2分，满分2分；提供①该人员具有相应年限的信息化建设经验的证明材料、②投标人为该人员在投标截止时间前六个月任意一个月缴纳的社保证明（投标截止时间当月成立的，无法提供为其缴纳社保费证明材料的投标人，提交社保增员时间材料视同满足本项社保条件要求）。该人员具有相应年限的信息化建设经验的证明材料包含：1、不限于与投标人签订的从事信息化建设经验等技术类岗位的劳动合同；2、用于计算在职时间的离职证明或在劳动合同所列单位的社保缴交证明。否则不得分。</w:t>
            </w:r>
          </w:p>
          <w:p>
            <w:pPr>
              <w:pStyle w:val="7"/>
              <w:spacing w:line="400" w:lineRule="exac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zCs w:val="21"/>
              </w:rPr>
              <w:t>（3）具备1个及以上项目管理经验，得1分，满分1分。（</w:t>
            </w:r>
            <w:r>
              <w:rPr>
                <w:rFonts w:hint="eastAsia"/>
              </w:rPr>
              <w:t>须</w:t>
            </w:r>
            <w:r>
              <w:rPr>
                <w:rFonts w:hint="eastAsia" w:asciiTheme="minorEastAsia" w:hAnsiTheme="minorEastAsia" w:eastAsiaTheme="minorEastAsia" w:cstheme="minorEastAsia"/>
                <w:szCs w:val="21"/>
              </w:rPr>
              <w:t>同时提供</w:t>
            </w:r>
            <w:r>
              <w:rPr>
                <w:rFonts w:hint="eastAsia" w:ascii="宋体" w:hAnsi="宋体" w:cs="宋体"/>
                <w:szCs w:val="21"/>
              </w:rPr>
              <w:t>①</w:t>
            </w:r>
            <w:r>
              <w:rPr>
                <w:rFonts w:hint="eastAsia" w:asciiTheme="minorEastAsia" w:hAnsiTheme="minorEastAsia" w:eastAsiaTheme="minorEastAsia" w:cstheme="minorEastAsia"/>
                <w:szCs w:val="21"/>
              </w:rPr>
              <w:t>能证明该人员项目管理经验的相关材料，包括合同及对应的投标/响应文件复印件；或提供合同复印件及甲方开具的用户证明等、</w:t>
            </w:r>
            <w:r>
              <w:rPr>
                <w:rFonts w:hint="eastAsia" w:ascii="宋体" w:hAnsi="宋体" w:cs="宋体"/>
                <w:szCs w:val="21"/>
              </w:rPr>
              <w:t>②</w:t>
            </w:r>
            <w:r>
              <w:rPr>
                <w:rFonts w:hint="eastAsia" w:asciiTheme="minorEastAsia" w:hAnsiTheme="minorEastAsia" w:eastAsiaTheme="minorEastAsia" w:cstheme="minorEastAsia"/>
                <w:szCs w:val="21"/>
              </w:rPr>
              <w:t>提</w:t>
            </w:r>
            <w:r>
              <w:rPr>
                <w:rFonts w:hint="eastAsia"/>
              </w:rPr>
              <w:t>供投标截止时间前近6个月内任意一个月为其依法缴纳社保费的证明，否则不得分。投标截止时间当月成立的，无法提供为其缴纳社保费证明材料的投标人，提交社保增员时间材料视同满足本项社保条件要求）</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合     计</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100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Cs/>
                <w:szCs w:val="21"/>
              </w:rPr>
              <w:t>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topLinePunct/>
        <w:autoSpaceDE w:val="0"/>
        <w:autoSpaceDN w:val="0"/>
        <w:spacing w:line="400" w:lineRule="exact"/>
        <w:ind w:firstLine="420" w:firstLineChars="200"/>
        <w:rPr>
          <w:rFonts w:ascii="Times New Roman" w:hAnsi="Times New Roman"/>
          <w:szCs w:val="21"/>
        </w:rPr>
      </w:pPr>
    </w:p>
    <w:p>
      <w:pPr>
        <w:snapToGrid w:val="0"/>
        <w:spacing w:line="560" w:lineRule="exact"/>
        <w:ind w:firstLine="422" w:firstLineChars="200"/>
        <w:outlineLvl w:val="1"/>
        <w:rPr>
          <w:rFonts w:ascii="Times New Roman" w:hAnsi="Times New Roman"/>
          <w:b/>
          <w:bCs/>
          <w:szCs w:val="21"/>
        </w:rPr>
      </w:pPr>
      <w:r>
        <w:rPr>
          <w:rFonts w:ascii="Times New Roman" w:hAnsi="Times New Roman"/>
          <w:b/>
          <w:bCs/>
          <w:szCs w:val="21"/>
        </w:rPr>
        <w:t>2.2</w:t>
      </w:r>
      <w:r>
        <w:rPr>
          <w:rFonts w:hint="eastAsia" w:ascii="Times New Roman" w:hAnsi="Times New Roman"/>
          <w:b/>
          <w:bCs/>
          <w:szCs w:val="21"/>
        </w:rPr>
        <w:t>.3</w:t>
      </w:r>
      <w:r>
        <w:rPr>
          <w:rFonts w:ascii="Times New Roman" w:hAnsi="Times New Roman"/>
          <w:b/>
          <w:bCs/>
          <w:szCs w:val="21"/>
        </w:rPr>
        <w:t xml:space="preserve"> </w:t>
      </w:r>
      <w:r>
        <w:rPr>
          <w:rFonts w:hint="eastAsia" w:ascii="Times New Roman" w:hAnsi="Times New Roman"/>
          <w:b/>
          <w:bCs/>
          <w:szCs w:val="21"/>
        </w:rPr>
        <w:t>采购包3“社保费征收子系统上下链</w:t>
      </w:r>
      <w:r>
        <w:rPr>
          <w:rFonts w:hint="eastAsia" w:ascii="Times New Roman" w:hAnsi="Times New Roman"/>
          <w:b/>
          <w:bCs/>
          <w:szCs w:val="21"/>
          <w:lang w:val="en-US" w:eastAsia="zh-CN"/>
        </w:rPr>
        <w:t>服务</w:t>
      </w:r>
      <w:r>
        <w:rPr>
          <w:rFonts w:hint="eastAsia" w:ascii="Times New Roman" w:hAnsi="Times New Roman"/>
          <w:b/>
          <w:bCs/>
          <w:szCs w:val="21"/>
        </w:rPr>
        <w:t>”</w:t>
      </w:r>
    </w:p>
    <w:p>
      <w:pPr>
        <w:topLinePunct/>
        <w:autoSpaceDE w:val="0"/>
        <w:autoSpaceDN w:val="0"/>
        <w:spacing w:line="400" w:lineRule="exact"/>
        <w:ind w:firstLine="422" w:firstLineChars="200"/>
        <w:rPr>
          <w:rFonts w:hint="eastAsia" w:ascii="宋体" w:hAnsi="宋体" w:cs="宋体"/>
          <w:sz w:val="24"/>
        </w:rPr>
      </w:pPr>
      <w:r>
        <w:rPr>
          <w:rFonts w:ascii="Times New Roman" w:hAnsi="Times New Roman"/>
          <w:b/>
          <w:bCs/>
          <w:szCs w:val="21"/>
        </w:rPr>
        <w:t>价格分值为</w:t>
      </w:r>
      <w:r>
        <w:rPr>
          <w:rFonts w:ascii="Times New Roman" w:hAnsi="Times New Roman"/>
          <w:b/>
          <w:bCs/>
          <w:szCs w:val="21"/>
          <w:u w:val="single"/>
        </w:rPr>
        <w:t xml:space="preserve"> </w:t>
      </w:r>
      <w:r>
        <w:rPr>
          <w:rFonts w:hint="eastAsia" w:ascii="Times New Roman" w:hAnsi="Times New Roman"/>
          <w:b/>
          <w:bCs/>
          <w:szCs w:val="21"/>
          <w:u w:val="single"/>
        </w:rPr>
        <w:t>15</w:t>
      </w:r>
      <w:r>
        <w:rPr>
          <w:rFonts w:ascii="Times New Roman" w:hAnsi="Times New Roman"/>
          <w:b/>
          <w:bCs/>
          <w:szCs w:val="21"/>
          <w:u w:val="single"/>
        </w:rPr>
        <w:t xml:space="preserve"> </w:t>
      </w:r>
      <w:r>
        <w:rPr>
          <w:rFonts w:ascii="Times New Roman" w:hAnsi="Times New Roman"/>
          <w:b/>
          <w:bCs/>
          <w:szCs w:val="21"/>
        </w:rPr>
        <w:t>分，其余评审因素分值为</w:t>
      </w:r>
      <w:r>
        <w:rPr>
          <w:rFonts w:ascii="Times New Roman" w:hAnsi="Times New Roman"/>
          <w:b/>
          <w:bCs/>
          <w:szCs w:val="21"/>
          <w:u w:val="single"/>
        </w:rPr>
        <w:t xml:space="preserve"> </w:t>
      </w:r>
      <w:r>
        <w:rPr>
          <w:rFonts w:hint="eastAsia" w:ascii="Times New Roman" w:hAnsi="Times New Roman"/>
          <w:b/>
          <w:bCs/>
          <w:szCs w:val="21"/>
          <w:u w:val="single"/>
        </w:rPr>
        <w:t>85</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(其中商务因素</w:t>
      </w:r>
      <w:r>
        <w:rPr>
          <w:rFonts w:hint="eastAsia" w:ascii="Times New Roman" w:hAnsi="Times New Roman"/>
          <w:b/>
          <w:bCs/>
          <w:szCs w:val="21"/>
          <w:u w:val="single"/>
        </w:rPr>
        <w:t xml:space="preserve"> 11</w:t>
      </w:r>
      <w:r>
        <w:rPr>
          <w:rFonts w:ascii="Times New Roman" w:hAnsi="Times New Roman"/>
          <w:b/>
          <w:bCs/>
          <w:szCs w:val="21"/>
        </w:rPr>
        <w:t>分</w:t>
      </w:r>
      <w:r>
        <w:rPr>
          <w:rFonts w:hint="eastAsia" w:ascii="Times New Roman" w:hAnsi="Times New Roman"/>
          <w:b/>
          <w:bCs/>
          <w:szCs w:val="21"/>
        </w:rPr>
        <w:t>，技术因素</w:t>
      </w:r>
      <w:r>
        <w:rPr>
          <w:rFonts w:hint="eastAsia" w:ascii="Times New Roman" w:hAnsi="Times New Roman"/>
          <w:b/>
          <w:bCs/>
          <w:szCs w:val="21"/>
          <w:u w:val="single"/>
        </w:rPr>
        <w:t xml:space="preserve"> 74</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w:t>
      </w:r>
      <w:r>
        <w:rPr>
          <w:rFonts w:ascii="Times New Roman" w:hAnsi="Times New Roman"/>
          <w:b/>
          <w:bCs/>
          <w:szCs w:val="21"/>
        </w:rPr>
        <w:t>。评审标准如下表</w:t>
      </w:r>
      <w:r>
        <w:rPr>
          <w:rFonts w:hint="eastAsia" w:ascii="宋体" w:hAnsi="宋体" w:cs="宋体"/>
          <w:b/>
          <w:bCs/>
          <w:sz w:val="24"/>
        </w:rPr>
        <w:t>：</w:t>
      </w:r>
    </w:p>
    <w:tbl>
      <w:tblPr>
        <w:tblStyle w:val="24"/>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770"/>
        <w:gridCol w:w="1238"/>
        <w:gridCol w:w="5677"/>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主要内容</w:t>
            </w:r>
          </w:p>
        </w:tc>
        <w:tc>
          <w:tcPr>
            <w:tcW w:w="567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细项</w:t>
            </w:r>
          </w:p>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投标报价</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A</w:t>
            </w:r>
            <w:r>
              <w:rPr>
                <w:rFonts w:hint="eastAsia" w:asciiTheme="minorEastAsia" w:hAnsiTheme="minorEastAsia" w:eastAsiaTheme="minorEastAsia" w:cstheme="minorEastAsia"/>
                <w:szCs w:val="21"/>
                <w:lang w:val="zh-CN"/>
              </w:rPr>
              <w:t>价格</w:t>
            </w: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31"/>
              <w:widowControl w:val="0"/>
              <w:spacing w:line="400" w:lineRule="exact"/>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投标报价得分=（评标基准价／投标报价）× 满分值</w:t>
            </w:r>
          </w:p>
          <w:p>
            <w:pPr>
              <w:pStyle w:val="31"/>
              <w:widowControl w:val="0"/>
              <w:spacing w:line="400" w:lineRule="exact"/>
              <w:jc w:val="both"/>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（1）评标基准价是指满足招标文件要求且投标价格最低的投标报价。</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（2）因落实政府采购政策进行价格调整的，以调整后的价格计算评标基准价和投标报价。</w:t>
            </w:r>
          </w:p>
          <w:p>
            <w:pPr>
              <w:pStyle w:val="30"/>
              <w:spacing w:line="400" w:lineRule="exac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商务因素</w:t>
            </w:r>
          </w:p>
        </w:tc>
        <w:tc>
          <w:tcPr>
            <w:tcW w:w="1238" w:type="dxa"/>
            <w:tcBorders>
              <w:top w:val="single" w:color="auto" w:sz="4" w:space="0"/>
              <w:left w:val="single" w:color="auto" w:sz="4" w:space="0"/>
              <w:right w:val="single" w:color="auto" w:sz="4" w:space="0"/>
            </w:tcBorders>
            <w:noWrap/>
            <w:vAlign w:val="center"/>
          </w:tcPr>
          <w:p>
            <w:pPr>
              <w:spacing w:line="40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B1投标人综合实力（6分）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 xml:space="preserve">B1 </w:t>
            </w:r>
            <w:r>
              <w:rPr>
                <w:rFonts w:hint="eastAsia" w:asciiTheme="minorEastAsia" w:hAnsiTheme="minorEastAsia" w:eastAsiaTheme="minorEastAsia" w:cstheme="minorEastAsia"/>
                <w:szCs w:val="21"/>
              </w:rPr>
              <w:t>投标人是否具有有效的ISO质量管理体系认证证书、ISO IT服务管理体系认证证书及ISO信息安全管理体系认证证书，每提供一项得2分，满分6分。（提供证书编号及查询网址或者提供有效的证书复印件，否则不得分）。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B2投标人类似项目成功案例</w:t>
            </w:r>
            <w:r>
              <w:rPr>
                <w:rFonts w:hint="eastAsia" w:asciiTheme="minorEastAsia" w:hAnsiTheme="minorEastAsia" w:eastAsiaTheme="minorEastAsia" w:cstheme="minorEastAsia"/>
                <w:szCs w:val="21"/>
              </w:rPr>
              <w:t>（5分）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B2</w:t>
            </w:r>
            <w:r>
              <w:rPr>
                <w:rFonts w:hint="eastAsia" w:asciiTheme="minorEastAsia" w:hAnsiTheme="minorEastAsia" w:eastAsiaTheme="minorEastAsia" w:cstheme="minorEastAsia"/>
                <w:szCs w:val="21"/>
              </w:rPr>
              <w:t>根据投标人提供的2021年1月1日至今承担的业务系统软件开发类案例证明文件进行评分。案例证明需提供合同关键页复印件加盖投标人公章（无法识别合同类型的将不予认定）。每提供1个案例得1分，最多得5分。需提供项目案例证明资料（包括中标通知书、合同、验收报告或用户证明材料等复印件并加盖投标人公章，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技术因素</w:t>
            </w: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C1项目需求理解（10分）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color w:val="auto"/>
                <w:sz w:val="21"/>
                <w:szCs w:val="21"/>
              </w:rPr>
              <w:t xml:space="preserve">C1.1 </w:t>
            </w:r>
            <w:r>
              <w:rPr>
                <w:rFonts w:hint="eastAsia" w:asciiTheme="minorEastAsia" w:hAnsiTheme="minorEastAsia" w:eastAsiaTheme="minorEastAsia" w:cstheme="minorEastAsia"/>
                <w:szCs w:val="21"/>
              </w:rPr>
              <w:t>根据投标人针对本项目（包3）提供的需求理解（项目内容）方案进行评分：对项目的认识理解准确深入，重点分析透彻的得5分；内容较为单薄，但能够把握重点、基本符合项目的得3分；内容不当、不符合本项目情况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color w:val="auto"/>
                <w:sz w:val="21"/>
                <w:szCs w:val="21"/>
              </w:rPr>
              <w:t xml:space="preserve">C1.2 </w:t>
            </w:r>
            <w:r>
              <w:rPr>
                <w:rFonts w:hint="eastAsia" w:asciiTheme="minorEastAsia" w:hAnsiTheme="minorEastAsia" w:eastAsiaTheme="minorEastAsia" w:cstheme="minorEastAsia"/>
                <w:szCs w:val="21"/>
              </w:rPr>
              <w:t>根据投标人针对本项目（包3）提供的需求理解（表达逻辑）方案进行评分：结构严谨、逻辑合理的得2分；结构混乱、逻辑不合理的得0分。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color w:val="auto"/>
                <w:sz w:val="21"/>
                <w:szCs w:val="21"/>
              </w:rPr>
              <w:t xml:space="preserve">C1.3 </w:t>
            </w:r>
            <w:r>
              <w:rPr>
                <w:rFonts w:hint="eastAsia" w:asciiTheme="minorEastAsia" w:hAnsiTheme="minorEastAsia" w:eastAsiaTheme="minorEastAsia" w:cstheme="minorEastAsia"/>
                <w:szCs w:val="21"/>
              </w:rPr>
              <w:t>根据投标人针对本项目（包3）提供的需求理解（项目特征）方案进行评分：对本项目理解透彻，项目总体定位准确、对业务需求及质量要求的分析深入、全面的得3分；对本项目需求内容及质量要求理解基本符合本项目情况，能指导本项目实施的得2分；理解不符合项目实际情况、对项目实施造成风险或未提供资料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C2总体设计方案（12分）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rPr>
            </w:pPr>
            <w:r>
              <w:rPr>
                <w:rStyle w:val="42"/>
                <w:rFonts w:asciiTheme="minorEastAsia" w:hAnsiTheme="minorEastAsia" w:eastAsiaTheme="minorEastAsia" w:cstheme="minorEastAsia"/>
                <w:color w:val="auto"/>
                <w:sz w:val="21"/>
                <w:szCs w:val="21"/>
              </w:rPr>
              <w:t xml:space="preserve">C2.1 </w:t>
            </w:r>
            <w:r>
              <w:rPr>
                <w:rFonts w:hint="eastAsia" w:asciiTheme="minorEastAsia" w:hAnsiTheme="minorEastAsia" w:eastAsiaTheme="minorEastAsia" w:cstheme="minorEastAsia"/>
                <w:szCs w:val="21"/>
              </w:rPr>
              <w:t>投标人根据本项目（包3）招标需求，提供整体技术方案，评标委员会根据以下标准打分：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（1）方案与招标需求高度吻合，详细合理阐述了系统的体系架构、功能模块得6分；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（2）方案基本满足招标需求，对系统的体系架构、功能模块做了整体描述得4分；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（3）方案基本满足招标需求，简单阐述系统的体系架构、功能模块，得2分。</w:t>
            </w:r>
          </w:p>
          <w:p>
            <w:pPr>
              <w:spacing w:line="400" w:lineRule="exac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zCs w:val="21"/>
              </w:rPr>
              <w:t>（4）方案未说明系统的体系架构、功能模块，得0分。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0"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rPr>
            </w:pPr>
            <w:r>
              <w:rPr>
                <w:rStyle w:val="42"/>
                <w:rFonts w:asciiTheme="minorEastAsia" w:hAnsiTheme="minorEastAsia" w:eastAsiaTheme="minorEastAsia" w:cstheme="minorEastAsia"/>
                <w:color w:val="auto"/>
                <w:sz w:val="21"/>
                <w:szCs w:val="21"/>
              </w:rPr>
              <w:t xml:space="preserve">C2.2 </w:t>
            </w:r>
            <w:r>
              <w:rPr>
                <w:rFonts w:hint="eastAsia" w:asciiTheme="minorEastAsia" w:hAnsiTheme="minorEastAsia" w:eastAsiaTheme="minorEastAsia" w:cstheme="minorEastAsia"/>
                <w:szCs w:val="21"/>
              </w:rPr>
              <w:t>投标人根据本项目（包3）招标需求，提供整体技术方案，评标委员会根据以下标准打分：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（1）方案与招标需求高度吻合，详细合理阐述了系统的实现路径、关键技术得6分；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（2）方案基本满足招标需求，对系统的实现路径、关键技术做了整体描述得4分；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（3）方案基本满足招标需求，简单阐述系统的实现路径、关键技术，得2分。</w:t>
            </w:r>
          </w:p>
          <w:p>
            <w:pPr>
              <w:spacing w:line="400" w:lineRule="exac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zCs w:val="21"/>
              </w:rPr>
              <w:t>（4）方案未说明实现路径、关键技术的得0分。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770"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Style w:val="42"/>
                <w:b w:val="0"/>
                <w:bCs w:val="0"/>
                <w:color w:val="auto"/>
                <w:sz w:val="21"/>
                <w:szCs w:val="21"/>
              </w:rPr>
              <w:t>C3开发实施方案(24分）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zCs w:val="21"/>
              </w:rPr>
            </w:pPr>
            <w:r>
              <w:rPr>
                <w:rStyle w:val="42"/>
                <w:color w:val="auto"/>
                <w:sz w:val="21"/>
                <w:szCs w:val="21"/>
              </w:rPr>
              <w:t xml:space="preserve">C3.1 </w:t>
            </w:r>
            <w:r>
              <w:rPr>
                <w:rFonts w:hint="eastAsia" w:ascii="宋体" w:hAnsi="宋体" w:cs="宋体"/>
                <w:szCs w:val="21"/>
              </w:rPr>
              <w:t>投标人详细阐述对本项目（包3）的开发实施方案的时间进度控制安排等由评标委员会按照以下标准打分：</w:t>
            </w:r>
          </w:p>
          <w:p>
            <w:pPr>
              <w:spacing w:line="400" w:lineRule="exact"/>
              <w:textAlignment w:val="center"/>
              <w:rPr>
                <w:rFonts w:hint="eastAsia" w:ascii="宋体" w:hAnsi="宋体" w:cs="宋体"/>
                <w:szCs w:val="21"/>
              </w:rPr>
            </w:pPr>
            <w:r>
              <w:rPr>
                <w:rFonts w:hint="eastAsia" w:ascii="宋体" w:hAnsi="宋体" w:cs="宋体"/>
                <w:szCs w:val="21"/>
              </w:rPr>
              <w:t>（1）对项目有清晰、合理、完整的时间进度控制，得6分；</w:t>
            </w:r>
          </w:p>
          <w:p>
            <w:pPr>
              <w:spacing w:line="400" w:lineRule="exact"/>
              <w:textAlignment w:val="center"/>
              <w:rPr>
                <w:rFonts w:hint="eastAsia" w:ascii="宋体" w:hAnsi="宋体" w:cs="宋体"/>
                <w:szCs w:val="21"/>
              </w:rPr>
            </w:pPr>
            <w:r>
              <w:rPr>
                <w:rFonts w:hint="eastAsia" w:ascii="宋体" w:hAnsi="宋体" w:cs="宋体"/>
                <w:szCs w:val="21"/>
              </w:rPr>
              <w:t>（2）对项目有较合理的时间进度控制，得4分；</w:t>
            </w:r>
          </w:p>
          <w:p>
            <w:pPr>
              <w:spacing w:line="400" w:lineRule="exact"/>
              <w:textAlignment w:val="center"/>
              <w:rPr>
                <w:rFonts w:hint="eastAsia" w:ascii="宋体" w:hAnsi="宋体" w:cs="宋体"/>
                <w:szCs w:val="21"/>
              </w:rPr>
            </w:pPr>
            <w:r>
              <w:rPr>
                <w:rFonts w:hint="eastAsia" w:ascii="宋体" w:hAnsi="宋体" w:cs="宋体"/>
                <w:szCs w:val="21"/>
              </w:rPr>
              <w:t>（3）提供简单的时间进度控制，内容基本完整的，得2分；</w:t>
            </w:r>
          </w:p>
          <w:p>
            <w:pPr>
              <w:spacing w:line="400" w:lineRule="exact"/>
              <w:textAlignment w:val="center"/>
              <w:rPr>
                <w:rFonts w:hint="eastAsia" w:ascii="宋体" w:hAnsi="宋体" w:cs="宋体"/>
                <w:b/>
                <w:bCs/>
                <w:szCs w:val="21"/>
                <w:lang w:val="zh-CN"/>
              </w:rPr>
            </w:pPr>
            <w:r>
              <w:rPr>
                <w:rFonts w:hint="eastAsia" w:ascii="宋体" w:hAnsi="宋体" w:cs="宋体"/>
                <w:szCs w:val="21"/>
              </w:rPr>
              <w:t>（4）无项目时间进度控制不得分。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zCs w:val="21"/>
              </w:rPr>
            </w:pPr>
            <w:r>
              <w:rPr>
                <w:rStyle w:val="42"/>
                <w:color w:val="auto"/>
                <w:sz w:val="21"/>
                <w:szCs w:val="21"/>
              </w:rPr>
              <w:t xml:space="preserve">C3.2 </w:t>
            </w:r>
            <w:r>
              <w:rPr>
                <w:rFonts w:hint="eastAsia" w:ascii="宋体" w:hAnsi="宋体" w:cs="宋体"/>
                <w:szCs w:val="21"/>
              </w:rPr>
              <w:t>投标人详细阐述对本项目（包3）的开发实施方案的人力资源安排等由评标委员会按照以下标准打分：</w:t>
            </w:r>
          </w:p>
          <w:p>
            <w:pPr>
              <w:spacing w:line="400" w:lineRule="exact"/>
              <w:textAlignment w:val="center"/>
              <w:rPr>
                <w:rFonts w:hint="eastAsia" w:ascii="宋体" w:hAnsi="宋体" w:cs="宋体"/>
                <w:szCs w:val="21"/>
              </w:rPr>
            </w:pPr>
            <w:r>
              <w:rPr>
                <w:rFonts w:hint="eastAsia" w:ascii="宋体" w:hAnsi="宋体" w:cs="宋体"/>
                <w:szCs w:val="21"/>
              </w:rPr>
              <w:t>（1）对项目有清晰、合理、完整的人力资源安排，得6分；</w:t>
            </w:r>
          </w:p>
          <w:p>
            <w:pPr>
              <w:spacing w:line="400" w:lineRule="exact"/>
              <w:textAlignment w:val="center"/>
              <w:rPr>
                <w:rFonts w:hint="eastAsia" w:ascii="宋体" w:hAnsi="宋体" w:cs="宋体"/>
                <w:szCs w:val="21"/>
              </w:rPr>
            </w:pPr>
            <w:r>
              <w:rPr>
                <w:rFonts w:hint="eastAsia" w:ascii="宋体" w:hAnsi="宋体" w:cs="宋体"/>
                <w:szCs w:val="21"/>
              </w:rPr>
              <w:t>（2）对项目有较合理的人力资源安排，得4分；</w:t>
            </w:r>
          </w:p>
          <w:p>
            <w:pPr>
              <w:spacing w:line="400" w:lineRule="exact"/>
              <w:textAlignment w:val="center"/>
              <w:rPr>
                <w:rFonts w:hint="eastAsia" w:ascii="宋体" w:hAnsi="宋体" w:cs="宋体"/>
                <w:szCs w:val="21"/>
              </w:rPr>
            </w:pPr>
            <w:r>
              <w:rPr>
                <w:rFonts w:hint="eastAsia" w:ascii="宋体" w:hAnsi="宋体" w:cs="宋体"/>
                <w:szCs w:val="21"/>
              </w:rPr>
              <w:t>（3）提供简单的人力资源安排，内容基本完整的，得2分；</w:t>
            </w:r>
          </w:p>
          <w:p>
            <w:pPr>
              <w:spacing w:line="400" w:lineRule="exact"/>
              <w:jc w:val="left"/>
              <w:textAlignment w:val="center"/>
              <w:rPr>
                <w:rFonts w:hint="eastAsia" w:ascii="宋体" w:hAnsi="宋体" w:cs="宋体"/>
                <w:b/>
                <w:bCs/>
                <w:szCs w:val="21"/>
                <w:lang w:val="zh-CN"/>
              </w:rPr>
            </w:pPr>
            <w:r>
              <w:rPr>
                <w:rFonts w:hint="eastAsia" w:ascii="宋体" w:hAnsi="宋体" w:cs="宋体"/>
                <w:szCs w:val="21"/>
              </w:rPr>
              <w:t>（4）无人力资源安排不得分。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zCs w:val="21"/>
              </w:rPr>
            </w:pPr>
            <w:r>
              <w:rPr>
                <w:rStyle w:val="42"/>
                <w:color w:val="auto"/>
                <w:sz w:val="21"/>
                <w:szCs w:val="21"/>
              </w:rPr>
              <w:t xml:space="preserve">C3.3 </w:t>
            </w:r>
            <w:r>
              <w:rPr>
                <w:rFonts w:hint="eastAsia" w:ascii="宋体" w:hAnsi="宋体" w:cs="宋体"/>
                <w:szCs w:val="21"/>
              </w:rPr>
              <w:t>投标人详细阐述对本项目（包3）的开发实施方案的风险控制措施等由评标委员会按照以下标准打分：</w:t>
            </w:r>
          </w:p>
          <w:p>
            <w:pPr>
              <w:spacing w:line="400" w:lineRule="exact"/>
              <w:textAlignment w:val="center"/>
              <w:rPr>
                <w:rFonts w:hint="eastAsia" w:ascii="宋体" w:hAnsi="宋体" w:cs="宋体"/>
                <w:szCs w:val="21"/>
              </w:rPr>
            </w:pPr>
            <w:r>
              <w:rPr>
                <w:rFonts w:hint="eastAsia" w:ascii="宋体" w:hAnsi="宋体" w:cs="宋体"/>
                <w:szCs w:val="21"/>
              </w:rPr>
              <w:t>（1）对项目有清晰、合理、完整的风险控制，得6分；</w:t>
            </w:r>
          </w:p>
          <w:p>
            <w:pPr>
              <w:spacing w:line="400" w:lineRule="exact"/>
              <w:textAlignment w:val="center"/>
              <w:rPr>
                <w:rFonts w:hint="eastAsia" w:ascii="宋体" w:hAnsi="宋体" w:cs="宋体"/>
                <w:szCs w:val="21"/>
              </w:rPr>
            </w:pPr>
            <w:r>
              <w:rPr>
                <w:rFonts w:hint="eastAsia" w:ascii="宋体" w:hAnsi="宋体" w:cs="宋体"/>
                <w:szCs w:val="21"/>
              </w:rPr>
              <w:t>（2）对项目有较合理的风险控制，得4分；</w:t>
            </w:r>
          </w:p>
          <w:p>
            <w:pPr>
              <w:spacing w:line="400" w:lineRule="exact"/>
              <w:textAlignment w:val="center"/>
              <w:rPr>
                <w:rFonts w:hint="eastAsia" w:ascii="宋体" w:hAnsi="宋体" w:cs="宋体"/>
                <w:szCs w:val="21"/>
              </w:rPr>
            </w:pPr>
            <w:r>
              <w:rPr>
                <w:rFonts w:hint="eastAsia" w:ascii="宋体" w:hAnsi="宋体" w:cs="宋体"/>
                <w:szCs w:val="21"/>
              </w:rPr>
              <w:t>（3）提供简单的风险控制，内容基本完整的，得2分；</w:t>
            </w:r>
          </w:p>
          <w:p>
            <w:pPr>
              <w:spacing w:line="400" w:lineRule="exact"/>
              <w:jc w:val="left"/>
              <w:textAlignment w:val="center"/>
              <w:rPr>
                <w:rFonts w:hint="eastAsia" w:ascii="宋体" w:hAnsi="宋体" w:cs="宋体"/>
                <w:b/>
                <w:bCs/>
                <w:szCs w:val="21"/>
                <w:lang w:val="zh-CN"/>
              </w:rPr>
            </w:pPr>
            <w:r>
              <w:rPr>
                <w:rFonts w:hint="eastAsia" w:ascii="宋体" w:hAnsi="宋体" w:cs="宋体"/>
                <w:szCs w:val="21"/>
              </w:rPr>
              <w:t>（4）无风险控制安排不得分。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zCs w:val="21"/>
              </w:rPr>
            </w:pPr>
            <w:r>
              <w:rPr>
                <w:rStyle w:val="42"/>
                <w:color w:val="auto"/>
                <w:sz w:val="21"/>
                <w:szCs w:val="21"/>
              </w:rPr>
              <w:t xml:space="preserve">C3.4 </w:t>
            </w:r>
            <w:r>
              <w:rPr>
                <w:rFonts w:hint="eastAsia" w:ascii="宋体" w:hAnsi="宋体" w:cs="宋体"/>
                <w:szCs w:val="21"/>
              </w:rPr>
              <w:t>投标人详细阐述对本项目（包3）的开发实施方案的质量保证措施等由评标委员会按照以下标准打分：</w:t>
            </w:r>
          </w:p>
          <w:p>
            <w:pPr>
              <w:spacing w:line="400" w:lineRule="exact"/>
              <w:textAlignment w:val="center"/>
              <w:rPr>
                <w:rFonts w:hint="eastAsia" w:ascii="宋体" w:hAnsi="宋体" w:cs="宋体"/>
                <w:szCs w:val="21"/>
              </w:rPr>
            </w:pPr>
            <w:r>
              <w:rPr>
                <w:rFonts w:hint="eastAsia" w:ascii="宋体" w:hAnsi="宋体" w:cs="宋体"/>
                <w:szCs w:val="21"/>
              </w:rPr>
              <w:t>（1）对项目有清晰、合理、完整的质量保证措施，得6分；</w:t>
            </w:r>
          </w:p>
          <w:p>
            <w:pPr>
              <w:spacing w:line="400" w:lineRule="exact"/>
              <w:textAlignment w:val="center"/>
              <w:rPr>
                <w:rFonts w:hint="eastAsia" w:ascii="宋体" w:hAnsi="宋体" w:cs="宋体"/>
                <w:szCs w:val="21"/>
              </w:rPr>
            </w:pPr>
            <w:r>
              <w:rPr>
                <w:rFonts w:hint="eastAsia" w:ascii="宋体" w:hAnsi="宋体" w:cs="宋体"/>
                <w:szCs w:val="21"/>
              </w:rPr>
              <w:t>（2）对项目有较合理的质量保证措施，得4分；</w:t>
            </w:r>
          </w:p>
          <w:p>
            <w:pPr>
              <w:spacing w:line="400" w:lineRule="exact"/>
              <w:textAlignment w:val="center"/>
              <w:rPr>
                <w:rFonts w:hint="eastAsia" w:ascii="宋体" w:hAnsi="宋体" w:cs="宋体"/>
                <w:szCs w:val="21"/>
              </w:rPr>
            </w:pPr>
            <w:r>
              <w:rPr>
                <w:rFonts w:hint="eastAsia" w:ascii="宋体" w:hAnsi="宋体" w:cs="宋体"/>
                <w:szCs w:val="21"/>
              </w:rPr>
              <w:t>（3）提供简单的质量保证措施，内容基本完整的，得2分；</w:t>
            </w:r>
          </w:p>
          <w:p>
            <w:pPr>
              <w:spacing w:line="400" w:lineRule="exact"/>
              <w:jc w:val="left"/>
              <w:textAlignment w:val="center"/>
              <w:rPr>
                <w:rFonts w:hint="eastAsia" w:ascii="宋体" w:hAnsi="宋体" w:cs="宋体"/>
                <w:b/>
                <w:bCs/>
                <w:szCs w:val="21"/>
                <w:lang w:val="zh-CN"/>
              </w:rPr>
            </w:pPr>
            <w:r>
              <w:rPr>
                <w:rFonts w:hint="eastAsia" w:ascii="宋体" w:hAnsi="宋体" w:cs="宋体"/>
                <w:szCs w:val="21"/>
              </w:rPr>
              <w:t>（4）无质量保证措施不得分。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C4安全保障措施（5分）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Theme="minorEastAsia" w:hAnsiTheme="minorEastAsia" w:eastAsiaTheme="minorEastAsia" w:cstheme="minorEastAsia"/>
                <w:szCs w:val="21"/>
              </w:rPr>
            </w:pPr>
            <w:r>
              <w:rPr>
                <w:rStyle w:val="42"/>
                <w:rFonts w:asciiTheme="minorEastAsia" w:hAnsiTheme="minorEastAsia" w:eastAsiaTheme="minorEastAsia" w:cstheme="minorEastAsia"/>
                <w:b w:val="0"/>
                <w:bCs w:val="0"/>
                <w:color w:val="auto"/>
                <w:sz w:val="21"/>
                <w:szCs w:val="21"/>
              </w:rPr>
              <w:t>C4</w:t>
            </w:r>
            <w:r>
              <w:rPr>
                <w:rFonts w:hint="eastAsia" w:asciiTheme="minorEastAsia" w:hAnsiTheme="minorEastAsia" w:eastAsiaTheme="minorEastAsia" w:cstheme="minorEastAsia"/>
                <w:szCs w:val="21"/>
              </w:rPr>
              <w:t>投标人针</w:t>
            </w:r>
            <w:r>
              <w:rPr>
                <w:rFonts w:hint="eastAsia" w:ascii="宋体" w:hAnsi="宋体" w:cs="宋体"/>
                <w:szCs w:val="21"/>
              </w:rPr>
              <w:t>对本项目（包3）</w:t>
            </w:r>
            <w:r>
              <w:rPr>
                <w:rFonts w:hint="eastAsia" w:asciiTheme="minorEastAsia" w:hAnsiTheme="minorEastAsia" w:eastAsiaTheme="minorEastAsia" w:cstheme="minorEastAsia"/>
                <w:szCs w:val="21"/>
              </w:rPr>
              <w:t>提供的开发实施方案中，未涵盖安全保障措施的，则本项得0分。在涵盖安全保障措施的基础上评标委员会就以下内容进行打分：</w:t>
            </w:r>
          </w:p>
          <w:p>
            <w:pPr>
              <w:spacing w:line="400" w:lineRule="exac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（1）安全保障措施对保障系统可靠运行能提出完备的预防策略、监控措施、解决方案的，得3分，否则不得分；</w:t>
            </w:r>
          </w:p>
          <w:p>
            <w:pPr>
              <w:spacing w:line="400" w:lineRule="exact"/>
              <w:jc w:val="left"/>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zCs w:val="21"/>
              </w:rPr>
              <w:t>（2）安全保障措施对保障数据安全方面能提出完整的防护、审计、治理等内容的，得2分，否则不得分。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C5应急处理（5分）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pacing w:val="-2"/>
                <w:szCs w:val="21"/>
              </w:rPr>
            </w:pPr>
            <w:r>
              <w:rPr>
                <w:rStyle w:val="42"/>
                <w:rFonts w:asciiTheme="minorEastAsia" w:hAnsiTheme="minorEastAsia" w:eastAsiaTheme="minorEastAsia" w:cstheme="minorEastAsia"/>
                <w:b w:val="0"/>
                <w:bCs w:val="0"/>
                <w:color w:val="auto"/>
                <w:sz w:val="21"/>
                <w:szCs w:val="21"/>
              </w:rPr>
              <w:t>C5</w:t>
            </w:r>
            <w:r>
              <w:rPr>
                <w:rFonts w:hint="eastAsia" w:asciiTheme="minorEastAsia" w:hAnsiTheme="minorEastAsia" w:eastAsiaTheme="minorEastAsia" w:cstheme="minorEastAsia"/>
                <w:szCs w:val="21"/>
              </w:rPr>
              <w:t>评标委员会</w:t>
            </w:r>
            <w:r>
              <w:rPr>
                <w:rFonts w:hint="eastAsia" w:asciiTheme="minorEastAsia" w:hAnsiTheme="minorEastAsia" w:eastAsiaTheme="minorEastAsia" w:cstheme="minorEastAsia"/>
                <w:spacing w:val="-2"/>
                <w:szCs w:val="21"/>
              </w:rPr>
              <w:t>根据投标人针对本项目</w:t>
            </w:r>
            <w:r>
              <w:rPr>
                <w:rFonts w:hint="eastAsia" w:ascii="宋体" w:hAnsi="宋体" w:cs="宋体"/>
                <w:szCs w:val="21"/>
              </w:rPr>
              <w:t>（包3）提供的</w:t>
            </w:r>
            <w:r>
              <w:rPr>
                <w:rFonts w:hint="eastAsia" w:asciiTheme="minorEastAsia" w:hAnsiTheme="minorEastAsia" w:eastAsiaTheme="minorEastAsia" w:cstheme="minorEastAsia"/>
                <w:spacing w:val="-2"/>
                <w:szCs w:val="21"/>
              </w:rPr>
              <w:t>投标方案，考察投标人应急处理能力。投标人方案不具有完整的运维过程中出现紧急情况（如系统性能下降、系统宕机、数据错误等情况）的应对方案的得0分。</w:t>
            </w:r>
          </w:p>
          <w:p>
            <w:pPr>
              <w:spacing w:line="400" w:lineRule="exact"/>
              <w:ind w:firstLine="420" w:firstLineChars="200"/>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zCs w:val="21"/>
              </w:rPr>
              <w:t>在有完整的</w:t>
            </w:r>
            <w:r>
              <w:rPr>
                <w:rFonts w:hint="eastAsia" w:asciiTheme="minorEastAsia" w:hAnsiTheme="minorEastAsia" w:eastAsiaTheme="minorEastAsia" w:cstheme="minorEastAsia"/>
                <w:spacing w:val="-2"/>
                <w:szCs w:val="21"/>
              </w:rPr>
              <w:t>应对方案</w:t>
            </w:r>
            <w:r>
              <w:rPr>
                <w:rFonts w:hint="eastAsia" w:asciiTheme="minorEastAsia" w:hAnsiTheme="minorEastAsia" w:eastAsiaTheme="minorEastAsia" w:cstheme="minorEastAsia"/>
                <w:szCs w:val="21"/>
              </w:rPr>
              <w:t>的基础上</w:t>
            </w:r>
            <w:r>
              <w:rPr>
                <w:rFonts w:hint="eastAsia" w:asciiTheme="minorEastAsia" w:hAnsiTheme="minorEastAsia" w:eastAsiaTheme="minorEastAsia" w:cstheme="minorEastAsia"/>
                <w:spacing w:val="-2"/>
                <w:szCs w:val="21"/>
              </w:rPr>
              <w:t xml:space="preserve">，评标委员会就以下标准打分： </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（1）投标人对系统告警类型能进行准确的分析描述，并根据不同告警类型给出相应合理处理方案的，得3分，否则不得分； </w:t>
            </w:r>
          </w:p>
          <w:p>
            <w:pPr>
              <w:spacing w:line="400" w:lineRule="exact"/>
              <w:jc w:val="lef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pacing w:val="-2"/>
                <w:szCs w:val="21"/>
              </w:rPr>
              <w:t>（2）投标人应急处理方案内容详细、处理流程科学、可操作性强，得2分，否则不得分。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b w:val="0"/>
                <w:bCs w:val="0"/>
                <w:color w:val="auto"/>
                <w:sz w:val="21"/>
                <w:szCs w:val="21"/>
              </w:rPr>
              <w:t>C6验收方案（6分）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pacing w:val="-2"/>
                <w:szCs w:val="21"/>
              </w:rPr>
            </w:pPr>
            <w:r>
              <w:rPr>
                <w:rStyle w:val="42"/>
                <w:rFonts w:asciiTheme="minorEastAsia" w:hAnsiTheme="minorEastAsia" w:eastAsiaTheme="minorEastAsia" w:cstheme="minorEastAsia"/>
                <w:b w:val="0"/>
                <w:bCs w:val="0"/>
                <w:color w:val="auto"/>
                <w:sz w:val="21"/>
                <w:szCs w:val="21"/>
              </w:rPr>
              <w:t>C6</w:t>
            </w:r>
            <w:r>
              <w:rPr>
                <w:rFonts w:hint="eastAsia" w:asciiTheme="minorEastAsia" w:hAnsiTheme="minorEastAsia" w:eastAsiaTheme="minorEastAsia" w:cstheme="minorEastAsia"/>
                <w:spacing w:val="-2"/>
                <w:szCs w:val="21"/>
              </w:rPr>
              <w:t>评标委员会根据投标人针对本项目</w:t>
            </w:r>
            <w:r>
              <w:rPr>
                <w:rFonts w:hint="eastAsia" w:ascii="宋体" w:hAnsi="宋体" w:cs="宋体"/>
                <w:szCs w:val="21"/>
              </w:rPr>
              <w:t>（包3）提供的</w:t>
            </w:r>
            <w:r>
              <w:rPr>
                <w:rFonts w:hint="eastAsia" w:asciiTheme="minorEastAsia" w:hAnsiTheme="minorEastAsia" w:eastAsiaTheme="minorEastAsia" w:cstheme="minorEastAsia"/>
                <w:spacing w:val="-2"/>
                <w:szCs w:val="21"/>
              </w:rPr>
              <w:t>验收方案的完整性、详细性和可操作性，进行综合评价。</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（1）方案详细、科学、合理,具有较强的可操作性，得6分；</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（2）方案较为详细、科学、合理，具有基本的可操作性,得4分；</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（3）方案基本详细、科学、合理，可操作性不强,得2分。</w:t>
            </w:r>
          </w:p>
          <w:p>
            <w:pPr>
              <w:spacing w:line="400" w:lineRule="exact"/>
              <w:textAlignment w:val="cente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spacing w:val="-2"/>
                <w:szCs w:val="21"/>
              </w:rPr>
              <w:t>（4）未按要求阐述验收方案不得分。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b w:val="0"/>
                <w:bCs w:val="0"/>
                <w:color w:val="auto"/>
                <w:sz w:val="21"/>
                <w:szCs w:val="21"/>
              </w:rPr>
              <w:t>C7服务保障方案（6分）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spacing w:val="-2"/>
                <w:szCs w:val="21"/>
              </w:rPr>
            </w:pPr>
            <w:r>
              <w:rPr>
                <w:rStyle w:val="42"/>
                <w:rFonts w:asciiTheme="minorEastAsia" w:hAnsiTheme="minorEastAsia" w:eastAsiaTheme="minorEastAsia" w:cstheme="minorEastAsia"/>
                <w:b w:val="0"/>
                <w:bCs w:val="0"/>
                <w:color w:val="auto"/>
                <w:sz w:val="21"/>
                <w:szCs w:val="21"/>
              </w:rPr>
              <w:t>C7</w:t>
            </w:r>
            <w:r>
              <w:rPr>
                <w:rFonts w:hint="eastAsia" w:asciiTheme="minorEastAsia" w:hAnsiTheme="minorEastAsia" w:eastAsiaTheme="minorEastAsia" w:cstheme="minorEastAsia"/>
                <w:spacing w:val="-2"/>
                <w:szCs w:val="21"/>
              </w:rPr>
              <w:t>投标人详细阐述对本项目</w:t>
            </w:r>
            <w:r>
              <w:rPr>
                <w:rFonts w:hint="eastAsia" w:ascii="宋体" w:hAnsi="宋体" w:cs="宋体"/>
                <w:szCs w:val="21"/>
              </w:rPr>
              <w:t>（包3）</w:t>
            </w:r>
            <w:r>
              <w:rPr>
                <w:rFonts w:hint="eastAsia" w:asciiTheme="minorEastAsia" w:hAnsiTheme="minorEastAsia" w:eastAsiaTheme="minorEastAsia" w:cstheme="minorEastAsia"/>
                <w:spacing w:val="-2"/>
                <w:szCs w:val="21"/>
              </w:rPr>
              <w:t>售后服务的重点、难点工作的服务保障方案，包括但不限于售后服务方案，售后服务流程、应急预案、质量保障等，评标委员会按照以下标准打分：</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（1）有完整的售后服务流程，提供合理的应急预案及质量保障措施，对售后服务的重点、难点工作分析到位及完整的、有详细的服务保障方案的，得6分；</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（2）售后服务流程基本完整、应急预案及质量保障措施相对合理，符合基本售后服务要求的，得4分；</w:t>
            </w:r>
          </w:p>
          <w:p>
            <w:pPr>
              <w:spacing w:line="400" w:lineRule="exact"/>
              <w:jc w:val="left"/>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（3）售后服务流程不完整、应急预案及质量保障措施不够合理，方案较为简单，对售后服务的重点、难点工作分析不到位的，得2分；</w:t>
            </w:r>
          </w:p>
          <w:p>
            <w:pPr>
              <w:spacing w:line="400" w:lineRule="exact"/>
              <w:jc w:val="left"/>
              <w:rPr>
                <w:rFonts w:hint="eastAsia" w:asciiTheme="minorEastAsia" w:hAnsiTheme="minorEastAsia" w:eastAsiaTheme="minorEastAsia" w:cstheme="minorEastAsia"/>
                <w:spacing w:val="-2"/>
                <w:szCs w:val="21"/>
                <w:lang w:val="zh-CN"/>
              </w:rPr>
            </w:pPr>
            <w:r>
              <w:rPr>
                <w:rFonts w:hint="eastAsia" w:asciiTheme="minorEastAsia" w:hAnsiTheme="minorEastAsia" w:eastAsiaTheme="minorEastAsia" w:cstheme="minorEastAsia"/>
                <w:spacing w:val="-2"/>
                <w:szCs w:val="21"/>
              </w:rPr>
              <w:t>（4）未按要求阐述售后服务方案、提供应急预案，对售后服务的重点、难点工作理解有重大偏差的，不得分。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szCs w:val="21"/>
                <w:lang w:val="zh-CN"/>
              </w:rPr>
            </w:pPr>
          </w:p>
        </w:tc>
        <w:tc>
          <w:tcPr>
            <w:tcW w:w="1238" w:type="dxa"/>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Theme="minorEastAsia" w:hAnsiTheme="minorEastAsia" w:eastAsiaTheme="minorEastAsia" w:cstheme="minorEastAsia"/>
                <w:szCs w:val="21"/>
                <w:lang w:val="zh-CN"/>
              </w:rPr>
            </w:pPr>
            <w:r>
              <w:rPr>
                <w:rStyle w:val="42"/>
                <w:rFonts w:asciiTheme="minorEastAsia" w:hAnsiTheme="minorEastAsia" w:eastAsiaTheme="minorEastAsia" w:cstheme="minorEastAsia"/>
                <w:b w:val="0"/>
                <w:bCs w:val="0"/>
                <w:color w:val="auto"/>
                <w:sz w:val="21"/>
                <w:szCs w:val="21"/>
              </w:rPr>
              <w:t>C8人员保障方案（6分）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Theme="minorEastAsia" w:hAnsiTheme="minorEastAsia" w:eastAsiaTheme="minorEastAsia" w:cstheme="minorEastAsia"/>
                <w:b/>
                <w:bCs/>
                <w:szCs w:val="21"/>
                <w:lang w:val="zh-CN"/>
              </w:rPr>
            </w:pPr>
            <w:r>
              <w:rPr>
                <w:rStyle w:val="42"/>
                <w:rFonts w:asciiTheme="minorEastAsia" w:hAnsiTheme="minorEastAsia" w:eastAsiaTheme="minorEastAsia" w:cstheme="minorEastAsia"/>
                <w:b w:val="0"/>
                <w:bCs w:val="0"/>
                <w:color w:val="auto"/>
                <w:sz w:val="21"/>
                <w:szCs w:val="21"/>
              </w:rPr>
              <w:t>C8</w:t>
            </w:r>
            <w:r>
              <w:rPr>
                <w:rFonts w:hint="eastAsia" w:asciiTheme="minorEastAsia" w:hAnsiTheme="minorEastAsia" w:eastAsiaTheme="minorEastAsia" w:cstheme="minorEastAsia"/>
                <w:spacing w:val="-2"/>
                <w:szCs w:val="21"/>
              </w:rPr>
              <w:t>投标人针对本项目</w:t>
            </w:r>
            <w:r>
              <w:rPr>
                <w:rFonts w:hint="eastAsia" w:ascii="宋体" w:hAnsi="宋体" w:cs="宋体"/>
                <w:szCs w:val="21"/>
              </w:rPr>
              <w:t>（包3）</w:t>
            </w:r>
            <w:r>
              <w:rPr>
                <w:rFonts w:hint="eastAsia" w:asciiTheme="minorEastAsia" w:hAnsiTheme="minorEastAsia" w:eastAsiaTheme="minorEastAsia" w:cstheme="minorEastAsia"/>
                <w:spacing w:val="-2"/>
                <w:szCs w:val="21"/>
              </w:rPr>
              <w:t>提供的项目组织机构、人员职责和分工是否明确，是否有详细的人员培训、考核、激励制度、人员整合与对接等。方案包含以上内容且全面、适用,得6分；方案包含以上内容且基本可行,得3分；方案不适用或未提供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合     计</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100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Cs/>
                <w:szCs w:val="21"/>
              </w:rPr>
              <w:t>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topLinePunct/>
        <w:autoSpaceDE w:val="0"/>
        <w:autoSpaceDN w:val="0"/>
        <w:spacing w:line="400" w:lineRule="exact"/>
        <w:ind w:firstLine="420" w:firstLineChars="200"/>
        <w:rPr>
          <w:rFonts w:ascii="Times New Roman" w:hAnsi="Times New Roman"/>
          <w:szCs w:val="21"/>
        </w:rPr>
      </w:pPr>
    </w:p>
    <w:p>
      <w:pPr>
        <w:snapToGrid w:val="0"/>
        <w:spacing w:line="560" w:lineRule="exact"/>
        <w:ind w:firstLine="422" w:firstLineChars="200"/>
        <w:outlineLvl w:val="1"/>
        <w:rPr>
          <w:rFonts w:ascii="Times New Roman" w:hAnsi="Times New Roman"/>
          <w:b/>
          <w:bCs/>
          <w:szCs w:val="21"/>
        </w:rPr>
      </w:pPr>
      <w:r>
        <w:rPr>
          <w:rFonts w:ascii="Times New Roman" w:hAnsi="Times New Roman"/>
          <w:b/>
          <w:bCs/>
          <w:szCs w:val="21"/>
        </w:rPr>
        <w:t>2.2</w:t>
      </w:r>
      <w:r>
        <w:rPr>
          <w:rFonts w:hint="eastAsia" w:ascii="Times New Roman" w:hAnsi="Times New Roman"/>
          <w:b/>
          <w:bCs/>
          <w:szCs w:val="21"/>
        </w:rPr>
        <w:t>.4采购包4“闽费通非税相关功能改造及上下链</w:t>
      </w:r>
      <w:r>
        <w:rPr>
          <w:rFonts w:hint="eastAsia" w:ascii="Times New Roman" w:hAnsi="Times New Roman"/>
          <w:b/>
          <w:bCs/>
          <w:szCs w:val="21"/>
          <w:lang w:val="en-US" w:eastAsia="zh-CN"/>
        </w:rPr>
        <w:t>服务</w:t>
      </w:r>
      <w:r>
        <w:rPr>
          <w:rFonts w:hint="eastAsia" w:ascii="Times New Roman" w:hAnsi="Times New Roman"/>
          <w:b/>
          <w:bCs/>
          <w:szCs w:val="21"/>
        </w:rPr>
        <w:t>”</w:t>
      </w:r>
    </w:p>
    <w:p>
      <w:pPr>
        <w:topLinePunct/>
        <w:autoSpaceDE w:val="0"/>
        <w:autoSpaceDN w:val="0"/>
        <w:spacing w:line="400" w:lineRule="exact"/>
        <w:ind w:firstLine="422" w:firstLineChars="200"/>
        <w:rPr>
          <w:rFonts w:hint="eastAsia" w:ascii="宋体" w:hAnsi="宋体" w:cs="宋体"/>
          <w:sz w:val="24"/>
        </w:rPr>
      </w:pPr>
      <w:r>
        <w:rPr>
          <w:rFonts w:ascii="Times New Roman" w:hAnsi="Times New Roman"/>
          <w:b/>
          <w:bCs/>
          <w:szCs w:val="21"/>
        </w:rPr>
        <w:t>价格分值为</w:t>
      </w:r>
      <w:r>
        <w:rPr>
          <w:rFonts w:ascii="Times New Roman" w:hAnsi="Times New Roman"/>
          <w:b/>
          <w:bCs/>
          <w:szCs w:val="21"/>
          <w:u w:val="single"/>
        </w:rPr>
        <w:t xml:space="preserve"> </w:t>
      </w:r>
      <w:r>
        <w:rPr>
          <w:rFonts w:hint="eastAsia" w:ascii="Times New Roman" w:hAnsi="Times New Roman"/>
          <w:b/>
          <w:bCs/>
          <w:szCs w:val="21"/>
          <w:u w:val="single"/>
        </w:rPr>
        <w:t>15</w:t>
      </w:r>
      <w:r>
        <w:rPr>
          <w:rFonts w:ascii="Times New Roman" w:hAnsi="Times New Roman"/>
          <w:b/>
          <w:bCs/>
          <w:szCs w:val="21"/>
          <w:u w:val="single"/>
        </w:rPr>
        <w:t xml:space="preserve"> </w:t>
      </w:r>
      <w:r>
        <w:rPr>
          <w:rFonts w:ascii="Times New Roman" w:hAnsi="Times New Roman"/>
          <w:b/>
          <w:bCs/>
          <w:szCs w:val="21"/>
        </w:rPr>
        <w:t>分，其余评审因素分值为</w:t>
      </w:r>
      <w:r>
        <w:rPr>
          <w:rFonts w:ascii="Times New Roman" w:hAnsi="Times New Roman"/>
          <w:b/>
          <w:bCs/>
          <w:szCs w:val="21"/>
          <w:u w:val="single"/>
        </w:rPr>
        <w:t xml:space="preserve"> </w:t>
      </w:r>
      <w:r>
        <w:rPr>
          <w:rFonts w:hint="eastAsia" w:ascii="Times New Roman" w:hAnsi="Times New Roman"/>
          <w:b/>
          <w:bCs/>
          <w:szCs w:val="21"/>
          <w:u w:val="single"/>
        </w:rPr>
        <w:t>85</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(其中商务因素</w:t>
      </w:r>
      <w:r>
        <w:rPr>
          <w:rFonts w:hint="eastAsia" w:ascii="Times New Roman" w:hAnsi="Times New Roman"/>
          <w:b/>
          <w:bCs/>
          <w:szCs w:val="21"/>
          <w:u w:val="single"/>
        </w:rPr>
        <w:t xml:space="preserve"> 10</w:t>
      </w:r>
      <w:r>
        <w:rPr>
          <w:rFonts w:ascii="Times New Roman" w:hAnsi="Times New Roman"/>
          <w:b/>
          <w:bCs/>
          <w:szCs w:val="21"/>
        </w:rPr>
        <w:t>分</w:t>
      </w:r>
      <w:r>
        <w:rPr>
          <w:rFonts w:hint="eastAsia" w:ascii="Times New Roman" w:hAnsi="Times New Roman"/>
          <w:b/>
          <w:bCs/>
          <w:szCs w:val="21"/>
        </w:rPr>
        <w:t>，技术因素</w:t>
      </w:r>
      <w:r>
        <w:rPr>
          <w:rFonts w:hint="eastAsia" w:ascii="Times New Roman" w:hAnsi="Times New Roman"/>
          <w:b/>
          <w:bCs/>
          <w:szCs w:val="21"/>
          <w:u w:val="single"/>
        </w:rPr>
        <w:t xml:space="preserve"> 75</w:t>
      </w:r>
      <w:r>
        <w:rPr>
          <w:rFonts w:ascii="Times New Roman" w:hAnsi="Times New Roman"/>
          <w:b/>
          <w:bCs/>
          <w:szCs w:val="21"/>
          <w:u w:val="single"/>
        </w:rPr>
        <w:t xml:space="preserve"> </w:t>
      </w:r>
      <w:r>
        <w:rPr>
          <w:rFonts w:ascii="Times New Roman" w:hAnsi="Times New Roman"/>
          <w:b/>
          <w:bCs/>
          <w:szCs w:val="21"/>
        </w:rPr>
        <w:t>分</w:t>
      </w:r>
      <w:r>
        <w:rPr>
          <w:rFonts w:hint="eastAsia" w:ascii="Times New Roman" w:hAnsi="Times New Roman"/>
          <w:b/>
          <w:bCs/>
          <w:szCs w:val="21"/>
        </w:rPr>
        <w:t>)</w:t>
      </w:r>
      <w:r>
        <w:rPr>
          <w:rFonts w:ascii="Times New Roman" w:hAnsi="Times New Roman"/>
          <w:b/>
          <w:bCs/>
          <w:szCs w:val="21"/>
        </w:rPr>
        <w:t>。评审标准如下表</w:t>
      </w:r>
      <w:r>
        <w:rPr>
          <w:rFonts w:hint="eastAsia" w:ascii="宋体" w:hAnsi="宋体" w:cs="宋体"/>
          <w:b/>
          <w:bCs/>
          <w:sz w:val="24"/>
        </w:rPr>
        <w:t>：</w:t>
      </w:r>
    </w:p>
    <w:tbl>
      <w:tblPr>
        <w:tblStyle w:val="24"/>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770"/>
        <w:gridCol w:w="1238"/>
        <w:gridCol w:w="5677"/>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序号</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评审因素</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主要内容</w:t>
            </w:r>
          </w:p>
        </w:tc>
        <w:tc>
          <w:tcPr>
            <w:tcW w:w="567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指标要求</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细项</w:t>
            </w:r>
          </w:p>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r>
              <w:rPr>
                <w:rFonts w:hint="eastAsia" w:ascii="宋体" w:hAnsi="宋体" w:cs="宋体"/>
                <w:szCs w:val="21"/>
                <w:lang w:val="zh-CN"/>
              </w:rPr>
              <w:t>投标报价</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r>
              <w:rPr>
                <w:rFonts w:hint="eastAsia" w:ascii="宋体" w:hAnsi="宋体" w:cs="宋体"/>
                <w:szCs w:val="21"/>
              </w:rPr>
              <w:t>A</w:t>
            </w:r>
            <w:r>
              <w:rPr>
                <w:rFonts w:hint="eastAsia" w:ascii="宋体" w:hAnsi="宋体" w:cs="宋体"/>
                <w:szCs w:val="21"/>
                <w:lang w:val="zh-CN"/>
              </w:rPr>
              <w:t>价格</w:t>
            </w: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31"/>
              <w:widowControl w:val="0"/>
              <w:spacing w:line="400" w:lineRule="exact"/>
              <w:jc w:val="both"/>
              <w:rPr>
                <w:rFonts w:ascii="宋体" w:hAnsi="宋体" w:cs="宋体"/>
                <w:sz w:val="21"/>
                <w:szCs w:val="21"/>
              </w:rPr>
            </w:pPr>
            <w:r>
              <w:rPr>
                <w:rFonts w:ascii="宋体" w:hAnsi="宋体" w:cs="宋体"/>
                <w:sz w:val="21"/>
                <w:szCs w:val="21"/>
              </w:rPr>
              <w:t>投标报价得分=（评标基准价／投标报价）× 满分值</w:t>
            </w:r>
          </w:p>
          <w:p>
            <w:pPr>
              <w:pStyle w:val="31"/>
              <w:widowControl w:val="0"/>
              <w:spacing w:line="400" w:lineRule="exact"/>
              <w:jc w:val="both"/>
              <w:rPr>
                <w:rFonts w:ascii="宋体" w:hAnsi="宋体" w:cs="宋体"/>
                <w:sz w:val="21"/>
                <w:szCs w:val="21"/>
              </w:rPr>
            </w:pPr>
            <w:r>
              <w:rPr>
                <w:rFonts w:ascii="宋体" w:hAnsi="宋体" w:cs="宋体"/>
                <w:sz w:val="21"/>
                <w:szCs w:val="21"/>
              </w:rPr>
              <w:t>（1）评标基准价是指满足招标文件要求且投标价格最低的投标报价。</w:t>
            </w:r>
          </w:p>
          <w:p>
            <w:pPr>
              <w:spacing w:line="400" w:lineRule="exact"/>
              <w:rPr>
                <w:rFonts w:hint="eastAsia" w:ascii="宋体" w:hAnsi="宋体" w:cs="宋体"/>
                <w:szCs w:val="21"/>
              </w:rPr>
            </w:pPr>
            <w:r>
              <w:rPr>
                <w:rFonts w:hint="eastAsia" w:ascii="宋体" w:hAnsi="宋体" w:cs="宋体"/>
                <w:szCs w:val="21"/>
              </w:rPr>
              <w:t>（2）因落实政府采购政策进行价格调整的，以调整后的价格计算评标基准价和投标报价。</w:t>
            </w:r>
          </w:p>
          <w:p>
            <w:pPr>
              <w:pStyle w:val="30"/>
              <w:spacing w:line="400" w:lineRule="exact"/>
              <w:rPr>
                <w:rFonts w:hint="eastAsia" w:ascii="宋体" w:hAnsi="宋体" w:cs="宋体"/>
                <w:szCs w:val="21"/>
                <w:lang w:val="zh-CN"/>
              </w:rPr>
            </w:pPr>
            <w:r>
              <w:rPr>
                <w:rFonts w:hint="eastAsia" w:ascii="宋体" w:hAnsi="宋体" w:cs="宋体"/>
                <w:kern w:val="0"/>
                <w:szCs w:val="21"/>
              </w:rPr>
              <w:t>注：采购人不接受投标人的恶意低价竞争。评标委员会认为投标人的报价明显低于其他通过符合性审查投标人的报价，有可能影响产品质量或者不能诚信履约的，将要求其在评标现场提供书面说明，并提交相关证明材料；投标人不能证明其报价合理性的，评标委员会将其作为无效投标处理。</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rPr>
            </w:pPr>
            <w:r>
              <w:rPr>
                <w:rFonts w:hint="eastAsia" w:ascii="宋体" w:hAnsi="宋体" w:cs="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2</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r>
              <w:rPr>
                <w:rFonts w:hint="eastAsia" w:ascii="宋体" w:hAnsi="宋体" w:cs="宋体"/>
                <w:szCs w:val="21"/>
                <w:lang w:val="zh-CN"/>
              </w:rPr>
              <w:t>商务因素</w:t>
            </w:r>
          </w:p>
        </w:tc>
        <w:tc>
          <w:tcPr>
            <w:tcW w:w="1238" w:type="dxa"/>
            <w:tcBorders>
              <w:top w:val="single" w:color="auto" w:sz="4" w:space="0"/>
              <w:left w:val="single" w:color="auto" w:sz="4" w:space="0"/>
              <w:right w:val="single" w:color="auto" w:sz="4" w:space="0"/>
            </w:tcBorders>
            <w:noWrap/>
            <w:vAlign w:val="center"/>
          </w:tcPr>
          <w:p>
            <w:pPr>
              <w:spacing w:line="400" w:lineRule="exact"/>
              <w:jc w:val="center"/>
              <w:rPr>
                <w:rFonts w:hint="eastAsia" w:ascii="宋体" w:hAnsi="宋体" w:cs="宋体"/>
                <w:szCs w:val="21"/>
                <w:lang w:val="zh-CN"/>
              </w:rPr>
            </w:pPr>
            <w:r>
              <w:rPr>
                <w:rFonts w:hint="eastAsia" w:ascii="宋体" w:hAnsi="宋体" w:cs="宋体"/>
                <w:szCs w:val="21"/>
              </w:rPr>
              <w:t>B1投标人综合实力（6分）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B1投标人是否具有有效的ISO质量管理体系认证证书、ISO IT服务管理体系认证证书及ISO信息安全管理体系认证证书，每提供一项得2分，满分6分。</w:t>
            </w:r>
          </w:p>
          <w:p>
            <w:pPr>
              <w:snapToGrid w:val="0"/>
              <w:spacing w:line="400" w:lineRule="exact"/>
              <w:jc w:val="left"/>
              <w:rPr>
                <w:rFonts w:hint="eastAsia" w:ascii="宋体" w:hAnsi="宋体" w:cs="宋体"/>
                <w:szCs w:val="21"/>
                <w:lang w:val="zh-CN"/>
              </w:rPr>
            </w:pPr>
            <w:r>
              <w:rPr>
                <w:rFonts w:hint="eastAsia" w:ascii="宋体" w:hAnsi="宋体" w:cs="宋体"/>
                <w:szCs w:val="21"/>
              </w:rPr>
              <w:t>（提供证书编号及查询网址或者提供有效的证书复印件，否则不得分）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zCs w:val="21"/>
                <w:lang w:val="zh-CN"/>
              </w:rPr>
            </w:pPr>
            <w:r>
              <w:rPr>
                <w:rStyle w:val="42"/>
                <w:b w:val="0"/>
                <w:bCs w:val="0"/>
                <w:color w:val="auto"/>
                <w:sz w:val="21"/>
                <w:szCs w:val="21"/>
              </w:rPr>
              <w:t>B2投标人类似项目成功案例</w:t>
            </w:r>
            <w:r>
              <w:rPr>
                <w:rFonts w:hint="eastAsia" w:ascii="宋体" w:hAnsi="宋体" w:cs="宋体"/>
                <w:szCs w:val="21"/>
              </w:rPr>
              <w:t>（4分）</w:t>
            </w:r>
          </w:p>
        </w:tc>
        <w:tc>
          <w:tcPr>
            <w:tcW w:w="567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Style w:val="42"/>
                <w:b w:val="0"/>
                <w:bCs w:val="0"/>
                <w:color w:val="auto"/>
                <w:sz w:val="21"/>
                <w:szCs w:val="21"/>
              </w:rPr>
              <w:t>B2根据投标人提供的2021年1月1日至今承担的业务系统（基于互联网为社会公众提供服务的业务办理系统）软件开发类案例证明文件进行评分。案例证明需提供合同关键页复印件加盖投标人公章（无法识别合同类型的将不予认定）。每提供1个案例得1分，最多得4分。需提供项目案例证明资料（包括中标通知书、合同、验收报告或用户证明材料等复印件并加盖投标人公章，否则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770"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r>
              <w:rPr>
                <w:rFonts w:hint="eastAsia" w:ascii="宋体" w:hAnsi="宋体" w:cs="宋体"/>
                <w:szCs w:val="21"/>
                <w:lang w:val="zh-CN"/>
              </w:rPr>
              <w:t>技术因素</w:t>
            </w: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Style w:val="42"/>
                <w:b w:val="0"/>
                <w:bCs w:val="0"/>
                <w:color w:val="auto"/>
                <w:sz w:val="21"/>
                <w:szCs w:val="21"/>
              </w:rPr>
              <w:t>C1项目需求理解（12分）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b/>
                <w:bCs/>
                <w:szCs w:val="21"/>
                <w:lang w:val="zh-CN"/>
              </w:rPr>
            </w:pPr>
            <w:r>
              <w:rPr>
                <w:rStyle w:val="42"/>
                <w:b w:val="0"/>
                <w:bCs w:val="0"/>
                <w:color w:val="auto"/>
                <w:sz w:val="21"/>
                <w:szCs w:val="21"/>
              </w:rPr>
              <w:t xml:space="preserve">C1.1 </w:t>
            </w:r>
            <w:r>
              <w:rPr>
                <w:rFonts w:hint="eastAsia" w:ascii="宋体" w:hAnsi="宋体" w:cs="宋体"/>
                <w:spacing w:val="-2"/>
                <w:szCs w:val="21"/>
              </w:rPr>
              <w:t>根据投标人对项目（包4）需求理解进行综合打分：对项目背景、服务内容理解全面、深入，描述准确，得6分；对项目背景、服务内容理解较为全面，描述较为准确，得3分；对项目背景、服务内容理解</w:t>
            </w:r>
            <w:r>
              <w:rPr>
                <w:rFonts w:hint="eastAsia" w:ascii="宋体" w:hAnsi="宋体" w:cs="宋体"/>
                <w:szCs w:val="21"/>
              </w:rPr>
              <w:t>基本到位，描述基本符合要求</w:t>
            </w:r>
            <w:r>
              <w:rPr>
                <w:rFonts w:hint="eastAsia" w:ascii="宋体" w:hAnsi="宋体" w:cs="宋体"/>
                <w:spacing w:val="-2"/>
                <w:szCs w:val="21"/>
              </w:rPr>
              <w:t>,得1分。对项目背景、服务内容理解存在严重偏差或者不提供的不得分。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kern w:val="1"/>
                <w:szCs w:val="21"/>
              </w:rPr>
            </w:pPr>
            <w:r>
              <w:rPr>
                <w:rFonts w:hint="eastAsia" w:ascii="宋体" w:hAnsi="宋体" w:cs="宋体"/>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宋体"/>
                <w:spacing w:val="-2"/>
                <w:szCs w:val="21"/>
              </w:rPr>
            </w:pPr>
            <w:r>
              <w:rPr>
                <w:rStyle w:val="42"/>
                <w:b w:val="0"/>
                <w:bCs w:val="0"/>
                <w:color w:val="auto"/>
                <w:sz w:val="21"/>
                <w:szCs w:val="21"/>
              </w:rPr>
              <w:t xml:space="preserve">C1.2 </w:t>
            </w:r>
            <w:r>
              <w:rPr>
                <w:rFonts w:hint="eastAsia" w:ascii="宋体" w:hAnsi="宋体" w:cs="宋体"/>
                <w:spacing w:val="-2"/>
                <w:szCs w:val="21"/>
              </w:rPr>
              <w:t>根据投标人对非税收入信息互联互通平台及与福建省林业、自然资源部门进行费源数据共享交互现状、业务范畴、服务对象、业务体量、互联互通平台功能，根据区块链进行数据交互的需求等的分析、理解进行综合打分：</w:t>
            </w:r>
          </w:p>
          <w:p>
            <w:pPr>
              <w:spacing w:line="400" w:lineRule="exact"/>
              <w:ind w:firstLine="412" w:firstLineChars="200"/>
              <w:textAlignment w:val="center"/>
              <w:rPr>
                <w:rFonts w:hint="eastAsia" w:ascii="宋体" w:hAnsi="宋体" w:cs="宋体"/>
                <w:b/>
                <w:bCs/>
                <w:szCs w:val="21"/>
                <w:lang w:val="zh-CN"/>
              </w:rPr>
            </w:pPr>
            <w:r>
              <w:rPr>
                <w:rFonts w:hint="eastAsia" w:ascii="宋体" w:hAnsi="宋体" w:cs="宋体"/>
                <w:spacing w:val="-2"/>
                <w:szCs w:val="21"/>
              </w:rPr>
              <w:t>理解全面、深入，描述准确，得6分；理解较为全面，描述较为准确，得3分；理解</w:t>
            </w:r>
            <w:r>
              <w:rPr>
                <w:rFonts w:hint="eastAsia" w:ascii="宋体" w:hAnsi="宋体" w:cs="宋体"/>
                <w:szCs w:val="21"/>
              </w:rPr>
              <w:t>基本到位，描述基本符合要求</w:t>
            </w:r>
            <w:r>
              <w:rPr>
                <w:rFonts w:hint="eastAsia" w:ascii="宋体" w:hAnsi="宋体" w:cs="宋体"/>
                <w:spacing w:val="-2"/>
                <w:szCs w:val="21"/>
              </w:rPr>
              <w:t>,得1分。理解存在严重偏差或者不提供的不得分。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kern w:val="1"/>
                <w:szCs w:val="21"/>
              </w:rPr>
            </w:pPr>
            <w:r>
              <w:rPr>
                <w:rFonts w:hint="eastAsia" w:ascii="宋体" w:hAnsi="宋体" w:cs="宋体"/>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Style w:val="42"/>
                <w:b w:val="0"/>
                <w:bCs w:val="0"/>
                <w:color w:val="auto"/>
                <w:sz w:val="21"/>
                <w:szCs w:val="21"/>
              </w:rPr>
              <w:t>C2总体设计方案（12分）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spacing w:val="-2"/>
                <w:szCs w:val="21"/>
              </w:rPr>
            </w:pPr>
            <w:r>
              <w:rPr>
                <w:rStyle w:val="42"/>
                <w:color w:val="auto"/>
                <w:sz w:val="21"/>
                <w:szCs w:val="21"/>
              </w:rPr>
              <w:t xml:space="preserve">C2.1 </w:t>
            </w:r>
            <w:r>
              <w:rPr>
                <w:rFonts w:hint="eastAsia" w:ascii="宋体" w:hAnsi="宋体" w:cs="宋体"/>
                <w:spacing w:val="-2"/>
                <w:szCs w:val="21"/>
              </w:rPr>
              <w:t>投标人应根据项目（包4）建设需求提供技术架构、应用架构、数据架构、部署架构、安全架构等主要的设计方案。</w:t>
            </w:r>
          </w:p>
          <w:p>
            <w:pPr>
              <w:spacing w:line="400" w:lineRule="exact"/>
              <w:ind w:firstLine="412" w:firstLineChars="200"/>
              <w:jc w:val="left"/>
              <w:rPr>
                <w:rFonts w:hint="eastAsia" w:ascii="宋体" w:hAnsi="宋体" w:cs="宋体"/>
                <w:b/>
                <w:bCs/>
                <w:szCs w:val="21"/>
                <w:lang w:val="zh-CN"/>
              </w:rPr>
            </w:pPr>
            <w:r>
              <w:rPr>
                <w:rFonts w:hint="eastAsia" w:ascii="宋体" w:hAnsi="宋体" w:cs="宋体"/>
                <w:spacing w:val="-2"/>
                <w:szCs w:val="21"/>
              </w:rPr>
              <w:t>技术设计方案包含以上架构且完整响应项目需求、方案可行、技术成熟先进、与采购人现有系统的融合性、适用性强，得6分；技术设计方案包含以上架构且阐述较准确、基本可行、适用，得3分；技术设计方案缺少以上部分架构或对技术设计方案阐述不够准确，得1分。方案不适用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kern w:val="1"/>
                <w:szCs w:val="21"/>
              </w:rPr>
            </w:pPr>
            <w:r>
              <w:rPr>
                <w:rFonts w:hint="eastAsia" w:ascii="宋体" w:hAnsi="宋体" w:cs="宋体"/>
                <w:kern w:val="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7</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b/>
                <w:bCs/>
                <w:szCs w:val="21"/>
                <w:lang w:val="zh-CN"/>
              </w:rPr>
            </w:pPr>
            <w:r>
              <w:rPr>
                <w:rStyle w:val="42"/>
                <w:color w:val="auto"/>
                <w:sz w:val="21"/>
                <w:szCs w:val="21"/>
              </w:rPr>
              <w:t xml:space="preserve">C2.2 </w:t>
            </w:r>
            <w:r>
              <w:rPr>
                <w:rFonts w:hint="eastAsia" w:ascii="宋体" w:hAnsi="宋体" w:cs="宋体"/>
                <w:spacing w:val="-2"/>
                <w:szCs w:val="21"/>
              </w:rPr>
              <w:t>投标人应根据项目（包4）建设需求提供根据非税收入信息互联互通平台需求标准的功能优化设计、流程优化设计的系统建设方案。方案内容包含以上要点且各模块功能优化设计完整，流程设计合理，得6分；方案内容包含以上要点且各模块功能优化设计较完整、基本满足需求,得3分；方案内容缺少以上部分要点或对各模块功能优化设计不够完整、合理,得1分。方案不适用或者不提供的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8</w:t>
            </w:r>
          </w:p>
        </w:tc>
        <w:tc>
          <w:tcPr>
            <w:tcW w:w="770"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Style w:val="42"/>
                <w:b w:val="0"/>
                <w:bCs w:val="0"/>
                <w:color w:val="auto"/>
                <w:sz w:val="21"/>
                <w:szCs w:val="21"/>
              </w:rPr>
              <w:t>C3开发实施方案(12分）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spacing w:val="-2"/>
                <w:szCs w:val="21"/>
              </w:rPr>
            </w:pPr>
            <w:r>
              <w:rPr>
                <w:rStyle w:val="42"/>
                <w:color w:val="auto"/>
                <w:sz w:val="21"/>
                <w:szCs w:val="21"/>
              </w:rPr>
              <w:t xml:space="preserve">C3.1 </w:t>
            </w:r>
            <w:r>
              <w:rPr>
                <w:rFonts w:hint="eastAsia" w:ascii="宋体" w:hAnsi="宋体" w:cs="宋体"/>
                <w:spacing w:val="-2"/>
                <w:szCs w:val="21"/>
              </w:rPr>
              <w:t>投标人须在投标方案中详细阐述本项目（包4）开发实施方案，有清晰、详细的时间计划、人员安排和进度控制、风险控制和质量保证措施。</w:t>
            </w:r>
          </w:p>
          <w:p>
            <w:pPr>
              <w:spacing w:line="400" w:lineRule="exact"/>
              <w:ind w:firstLine="412" w:firstLineChars="200"/>
              <w:jc w:val="left"/>
              <w:textAlignment w:val="center"/>
              <w:rPr>
                <w:rFonts w:hint="eastAsia" w:ascii="宋体" w:hAnsi="宋体" w:cs="宋体"/>
                <w:b/>
                <w:bCs/>
                <w:szCs w:val="21"/>
                <w:lang w:val="zh-CN"/>
              </w:rPr>
            </w:pPr>
            <w:r>
              <w:rPr>
                <w:rFonts w:hint="eastAsia" w:ascii="宋体" w:hAnsi="宋体" w:cs="宋体"/>
                <w:spacing w:val="-2"/>
                <w:szCs w:val="21"/>
              </w:rPr>
              <w:t>投标人提供的方案、进度安排详实、措施得当、重点突出、结构严谨，管理职责清晰，有利于项目实施的,得6分；方案、进度安排基本完整合理、能够把握重点，管理有序，能指导本项目实施的,得3分；方案或进度安排不详实、不适用本项目的或不提供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9</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b/>
                <w:bCs/>
                <w:szCs w:val="21"/>
                <w:lang w:val="zh-CN"/>
              </w:rPr>
            </w:pPr>
            <w:r>
              <w:rPr>
                <w:rStyle w:val="42"/>
                <w:color w:val="auto"/>
                <w:sz w:val="21"/>
                <w:szCs w:val="21"/>
              </w:rPr>
              <w:t xml:space="preserve">C3.2 </w:t>
            </w:r>
            <w:r>
              <w:rPr>
                <w:rFonts w:hint="eastAsia" w:ascii="宋体" w:hAnsi="宋体" w:cs="宋体"/>
                <w:spacing w:val="-2"/>
                <w:szCs w:val="21"/>
              </w:rPr>
              <w:t>投标人须根据项目（包4）建设要求提供非税收入信息互联互通平台与福建省林业、自然资源部门进行费源数据共享交互衔接实施方案，详细说明在原有非税收入信息互联互通平台建设的基础上保障本项目实施过程平滑过渡、业务办理不中断，能够在不影响采购人现有非税收入信息互联互通平台正常办理业务的情况下完成本项目建设，确保系统平稳运行。投标人提供的方案包含以上内容且全面、适用、满足需求,得6分；方案包含以上内容且较全面、适用、基本满足需求，得3分；其他不得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10</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宋体" w:hAnsi="宋体" w:cs="宋体"/>
                <w:szCs w:val="21"/>
                <w:lang w:val="zh-CN"/>
              </w:rPr>
            </w:pPr>
            <w:r>
              <w:rPr>
                <w:rStyle w:val="42"/>
                <w:b w:val="0"/>
                <w:bCs w:val="0"/>
                <w:color w:val="auto"/>
                <w:sz w:val="21"/>
                <w:szCs w:val="21"/>
              </w:rPr>
              <w:t>C4验收方案（6分）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spacing w:val="-2"/>
                <w:szCs w:val="21"/>
              </w:rPr>
            </w:pPr>
            <w:r>
              <w:rPr>
                <w:rStyle w:val="42"/>
                <w:b w:val="0"/>
                <w:bCs w:val="0"/>
                <w:color w:val="auto"/>
                <w:sz w:val="21"/>
                <w:szCs w:val="21"/>
              </w:rPr>
              <w:t>C4</w:t>
            </w:r>
            <w:r>
              <w:rPr>
                <w:rFonts w:hint="eastAsia" w:ascii="宋体" w:hAnsi="宋体" w:cs="宋体"/>
                <w:spacing w:val="-2"/>
                <w:szCs w:val="21"/>
              </w:rPr>
              <w:t>投标人针对本项目（包4）提供验收方案，方案包括但不限于验收标准、验收流程、验收中出现问题的解决办法和补救措施等内容。</w:t>
            </w:r>
          </w:p>
          <w:p>
            <w:pPr>
              <w:spacing w:line="400" w:lineRule="exact"/>
              <w:ind w:firstLine="412" w:firstLineChars="200"/>
              <w:jc w:val="left"/>
              <w:rPr>
                <w:rFonts w:hint="eastAsia" w:ascii="宋体" w:hAnsi="宋体" w:cs="宋体"/>
                <w:b/>
                <w:bCs/>
                <w:szCs w:val="21"/>
                <w:lang w:val="zh-CN"/>
              </w:rPr>
            </w:pPr>
            <w:r>
              <w:rPr>
                <w:rFonts w:hint="eastAsia" w:ascii="宋体" w:hAnsi="宋体" w:cs="宋体"/>
                <w:spacing w:val="-2"/>
                <w:szCs w:val="21"/>
              </w:rPr>
              <w:t>方案包含以上内容且全面、适用、满足招标需求，得6分；方案包含以上内容且较全面、适用性良好，得3分；方案有缺失或不提供的得0分。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11</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Style w:val="42"/>
                <w:rFonts w:hint="default"/>
                <w:b w:val="0"/>
                <w:bCs w:val="0"/>
                <w:color w:val="auto"/>
                <w:sz w:val="21"/>
                <w:szCs w:val="21"/>
              </w:rPr>
            </w:pPr>
            <w:r>
              <w:rPr>
                <w:rStyle w:val="42"/>
                <w:b w:val="0"/>
                <w:bCs w:val="0"/>
                <w:color w:val="auto"/>
                <w:sz w:val="21"/>
                <w:szCs w:val="21"/>
              </w:rPr>
              <w:t>C5知识转移方案</w:t>
            </w:r>
          </w:p>
          <w:p>
            <w:pPr>
              <w:snapToGrid w:val="0"/>
              <w:spacing w:line="400" w:lineRule="exact"/>
              <w:jc w:val="left"/>
              <w:rPr>
                <w:rFonts w:hint="eastAsia" w:ascii="宋体" w:hAnsi="宋体" w:cs="宋体"/>
                <w:szCs w:val="21"/>
                <w:lang w:val="zh-CN"/>
              </w:rPr>
            </w:pPr>
            <w:r>
              <w:rPr>
                <w:rStyle w:val="42"/>
                <w:b w:val="0"/>
                <w:bCs w:val="0"/>
                <w:color w:val="auto"/>
                <w:sz w:val="21"/>
                <w:szCs w:val="21"/>
              </w:rPr>
              <w:t>（6分）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spacing w:val="-2"/>
                <w:szCs w:val="21"/>
              </w:rPr>
            </w:pPr>
            <w:r>
              <w:rPr>
                <w:rStyle w:val="42"/>
                <w:b w:val="0"/>
                <w:bCs w:val="0"/>
                <w:color w:val="auto"/>
                <w:sz w:val="21"/>
                <w:szCs w:val="21"/>
              </w:rPr>
              <w:t>C5</w:t>
            </w:r>
            <w:r>
              <w:rPr>
                <w:rFonts w:hint="eastAsia" w:ascii="宋体" w:hAnsi="宋体" w:cs="宋体"/>
                <w:spacing w:val="-2"/>
                <w:szCs w:val="21"/>
              </w:rPr>
              <w:t>投标人针对本项目（包4）提供知识转移方案，方案包括但不限于转移的知识内容、转移形式、转移要求及时限等，包括代码、相关文档和开发产出物等内容。</w:t>
            </w:r>
          </w:p>
          <w:p>
            <w:pPr>
              <w:spacing w:line="400" w:lineRule="exact"/>
              <w:ind w:firstLine="412" w:firstLineChars="200"/>
              <w:jc w:val="left"/>
              <w:textAlignment w:val="center"/>
              <w:rPr>
                <w:rFonts w:hint="eastAsia" w:ascii="宋体" w:hAnsi="宋体" w:cs="宋体"/>
                <w:b/>
                <w:bCs/>
                <w:szCs w:val="21"/>
                <w:lang w:val="zh-CN"/>
              </w:rPr>
            </w:pPr>
            <w:r>
              <w:rPr>
                <w:rFonts w:hint="eastAsia" w:ascii="宋体" w:hAnsi="宋体" w:cs="宋体"/>
                <w:spacing w:val="-2"/>
                <w:szCs w:val="21"/>
              </w:rPr>
              <w:t>方案包含以上内容且方案全面、适用、满足招标需求，得6分；方案包含以上内容且较全面、适用性良好，得3分；方案有缺失或不提供的得0分。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12</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宋体" w:hAnsi="宋体" w:cs="宋体"/>
                <w:szCs w:val="21"/>
                <w:lang w:val="zh-CN"/>
              </w:rPr>
            </w:pPr>
            <w:r>
              <w:rPr>
                <w:rStyle w:val="42"/>
                <w:b w:val="0"/>
                <w:bCs w:val="0"/>
                <w:color w:val="auto"/>
                <w:sz w:val="21"/>
                <w:szCs w:val="21"/>
              </w:rPr>
              <w:t>C6维保期服务方案（6分）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textAlignment w:val="center"/>
              <w:rPr>
                <w:rFonts w:hint="eastAsia" w:ascii="宋体" w:hAnsi="宋体" w:cs="宋体"/>
                <w:spacing w:val="-2"/>
                <w:szCs w:val="21"/>
              </w:rPr>
            </w:pPr>
            <w:r>
              <w:rPr>
                <w:rStyle w:val="42"/>
                <w:b w:val="0"/>
                <w:bCs w:val="0"/>
                <w:color w:val="auto"/>
                <w:sz w:val="21"/>
                <w:szCs w:val="21"/>
              </w:rPr>
              <w:t>C6</w:t>
            </w:r>
            <w:r>
              <w:rPr>
                <w:rFonts w:hint="eastAsia" w:ascii="宋体" w:hAnsi="宋体" w:cs="宋体"/>
                <w:spacing w:val="-2"/>
                <w:szCs w:val="21"/>
              </w:rPr>
              <w:t>投标人须贴合福建省电子税务局的现状及非税收入信息互联互通平台，针对互联网端应用系统可能发生的紧急情况，提供维保期服务方案；提供的方案是否详尽、完整，维保期工作安排是否合理，售后服务响应是否及时，售后服务人员和时间是否达到招标文件要求。</w:t>
            </w:r>
          </w:p>
          <w:p>
            <w:pPr>
              <w:spacing w:line="400" w:lineRule="exact"/>
              <w:ind w:firstLine="412" w:firstLineChars="200"/>
              <w:textAlignment w:val="center"/>
              <w:rPr>
                <w:rFonts w:hint="eastAsia" w:ascii="宋体" w:hAnsi="宋体" w:cs="宋体"/>
                <w:b/>
                <w:bCs/>
                <w:szCs w:val="21"/>
                <w:lang w:val="zh-CN"/>
              </w:rPr>
            </w:pPr>
            <w:r>
              <w:rPr>
                <w:rFonts w:hint="eastAsia" w:ascii="宋体" w:hAnsi="宋体" w:cs="宋体"/>
                <w:spacing w:val="-2"/>
                <w:szCs w:val="21"/>
              </w:rPr>
              <w:t>方案包含以上内容且详尽、合理、适用本项目，得6分；方案包含以上内容且基本可行、合理，得3分；方案不适用或者不提供得0分。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13</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Style w:val="42"/>
                <w:rFonts w:hint="default"/>
                <w:b w:val="0"/>
                <w:bCs w:val="0"/>
                <w:color w:val="auto"/>
                <w:sz w:val="21"/>
                <w:szCs w:val="21"/>
              </w:rPr>
            </w:pPr>
            <w:r>
              <w:rPr>
                <w:rStyle w:val="42"/>
                <w:b w:val="0"/>
                <w:bCs w:val="0"/>
                <w:color w:val="auto"/>
                <w:sz w:val="21"/>
                <w:szCs w:val="21"/>
              </w:rPr>
              <w:t>C7安全保障方案</w:t>
            </w:r>
          </w:p>
          <w:p>
            <w:pPr>
              <w:spacing w:line="400" w:lineRule="exact"/>
              <w:jc w:val="center"/>
              <w:textAlignment w:val="center"/>
              <w:rPr>
                <w:rFonts w:hint="eastAsia" w:ascii="宋体" w:hAnsi="宋体" w:cs="宋体"/>
                <w:szCs w:val="21"/>
                <w:lang w:val="zh-CN"/>
              </w:rPr>
            </w:pPr>
            <w:r>
              <w:rPr>
                <w:rStyle w:val="42"/>
                <w:b w:val="0"/>
                <w:bCs w:val="0"/>
                <w:color w:val="auto"/>
                <w:sz w:val="21"/>
                <w:szCs w:val="21"/>
              </w:rPr>
              <w:t>（6分）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spacing w:val="-2"/>
                <w:szCs w:val="21"/>
              </w:rPr>
            </w:pPr>
            <w:r>
              <w:rPr>
                <w:rStyle w:val="42"/>
                <w:b w:val="0"/>
                <w:bCs w:val="0"/>
                <w:color w:val="auto"/>
                <w:sz w:val="21"/>
                <w:szCs w:val="21"/>
              </w:rPr>
              <w:t>C7</w:t>
            </w:r>
            <w:r>
              <w:rPr>
                <w:rFonts w:hint="eastAsia" w:ascii="宋体" w:hAnsi="宋体" w:cs="宋体"/>
                <w:spacing w:val="-2"/>
                <w:szCs w:val="21"/>
              </w:rPr>
              <w:t>投标人在充分理解现有网络安全架构设计与现有网络安全规范与要求的基础上，结合安全相关技术发展趋势和国家、税务总局、福建省相关政策要求以及投标人自身在信息安全领域的能力与经验，规划设计整体系统安全方案。</w:t>
            </w:r>
          </w:p>
          <w:p>
            <w:pPr>
              <w:spacing w:line="400" w:lineRule="exact"/>
              <w:ind w:firstLine="412" w:firstLineChars="200"/>
              <w:jc w:val="left"/>
              <w:rPr>
                <w:rFonts w:hint="eastAsia" w:ascii="宋体" w:hAnsi="宋体" w:cs="宋体"/>
                <w:spacing w:val="-2"/>
                <w:szCs w:val="21"/>
                <w:lang w:val="zh-CN"/>
              </w:rPr>
            </w:pPr>
            <w:r>
              <w:rPr>
                <w:rFonts w:hint="eastAsia" w:ascii="宋体" w:hAnsi="宋体" w:cs="宋体"/>
                <w:spacing w:val="-2"/>
                <w:szCs w:val="21"/>
              </w:rPr>
              <w:t>方案包含以上内容且满足各项规范、要求，具体、可行,得6分；方案包含以上内容且基本可行,得3分；方案不适用或者不提供的得0分。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14</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restart"/>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r>
              <w:rPr>
                <w:rStyle w:val="42"/>
                <w:b w:val="0"/>
                <w:bCs w:val="0"/>
                <w:color w:val="auto"/>
                <w:sz w:val="21"/>
                <w:szCs w:val="21"/>
              </w:rPr>
              <w:t>C8人员保障方案（15分）</w:t>
            </w: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spacing w:val="-2"/>
                <w:szCs w:val="21"/>
              </w:rPr>
            </w:pPr>
            <w:r>
              <w:rPr>
                <w:rStyle w:val="42"/>
                <w:color w:val="auto"/>
                <w:sz w:val="21"/>
                <w:szCs w:val="21"/>
              </w:rPr>
              <w:t xml:space="preserve">C8.1 </w:t>
            </w:r>
            <w:r>
              <w:rPr>
                <w:rFonts w:hint="eastAsia" w:ascii="宋体" w:hAnsi="宋体" w:cs="宋体"/>
                <w:spacing w:val="-2"/>
                <w:szCs w:val="21"/>
              </w:rPr>
              <w:t>投标人针对本项目（包4）提供的项目组织机构、人员职责和分工是否明确，是否有详细的人员培训、考核、激励制度、人员整合与对接等。</w:t>
            </w:r>
          </w:p>
          <w:p>
            <w:pPr>
              <w:spacing w:line="400" w:lineRule="exact"/>
              <w:ind w:firstLine="412" w:firstLineChars="200"/>
              <w:jc w:val="left"/>
              <w:rPr>
                <w:rFonts w:hint="eastAsia" w:ascii="宋体" w:hAnsi="宋体" w:cs="宋体"/>
                <w:b/>
                <w:bCs/>
                <w:szCs w:val="21"/>
                <w:lang w:val="zh-CN"/>
              </w:rPr>
            </w:pPr>
            <w:r>
              <w:rPr>
                <w:rFonts w:hint="eastAsia" w:ascii="宋体" w:hAnsi="宋体" w:cs="宋体"/>
                <w:spacing w:val="-2"/>
                <w:szCs w:val="21"/>
              </w:rPr>
              <w:t>方案包含以上内容且全面、适用,得6分；方案包含以上内容且较全面、适用性良好,得3分；方案不适用或者不提供的得0分。</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15</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7"/>
              <w:rPr>
                <w:rFonts w:hint="eastAsia" w:ascii="宋体" w:hAnsi="宋体" w:cs="宋体"/>
                <w:szCs w:val="21"/>
              </w:rPr>
            </w:pPr>
            <w:r>
              <w:rPr>
                <w:rStyle w:val="42"/>
                <w:color w:val="auto"/>
                <w:sz w:val="21"/>
                <w:szCs w:val="21"/>
              </w:rPr>
              <w:t xml:space="preserve">C8.2 </w:t>
            </w:r>
            <w:r>
              <w:rPr>
                <w:rFonts w:hint="eastAsia" w:ascii="宋体" w:hAnsi="宋体" w:cs="宋体"/>
                <w:spacing w:val="-2"/>
                <w:szCs w:val="21"/>
              </w:rPr>
              <w:t>投标人为本项目（包4）分派的项目经理拥有本科或以上学历，具备10年及以上工作经验的得3分；项目经理拥有本科或以上学历，具备5年及以上工作经验的得1分；其他情况不得分。</w:t>
            </w:r>
          </w:p>
          <w:p>
            <w:pPr>
              <w:pStyle w:val="7"/>
              <w:rPr>
                <w:rFonts w:hint="eastAsia" w:ascii="宋体" w:hAnsi="宋体" w:cs="宋体"/>
                <w:b/>
                <w:bCs/>
                <w:szCs w:val="21"/>
                <w:lang w:val="zh-CN"/>
              </w:rPr>
            </w:pPr>
            <w:r>
              <w:rPr>
                <w:rFonts w:hint="eastAsia" w:ascii="宋体" w:hAnsi="宋体" w:cs="宋体"/>
                <w:spacing w:val="-2"/>
                <w:szCs w:val="21"/>
              </w:rPr>
              <w:t>（须同时提供①投标截止时间前6个月内任意一个月为其依法缴纳社保费的证明、学历证明、工作经验证明（</w:t>
            </w:r>
            <w:r>
              <w:rPr>
                <w:rFonts w:hint="eastAsia"/>
              </w:rPr>
              <w:t>工作经验证明材料包含：1、不限于与投标人签订的劳动合同；2、用于计算在职时间的离职证明或在劳动合同所列单位的社保缴交证明。</w:t>
            </w:r>
            <w:r>
              <w:rPr>
                <w:rFonts w:hint="eastAsia" w:ascii="宋体" w:hAnsi="宋体" w:cs="宋体"/>
                <w:spacing w:val="-2"/>
                <w:szCs w:val="21"/>
              </w:rPr>
              <w:t>），否则不得分。</w:t>
            </w:r>
            <w:r>
              <w:rPr>
                <w:rFonts w:hint="eastAsia" w:ascii="宋体" w:hAnsi="宋体" w:cs="宋体"/>
                <w:szCs w:val="21"/>
              </w:rPr>
              <w:t>投标截止时间当月成立的，无法提供为其缴纳社保费证明材料的投标人，提交社保增员时间材料视同满足本项社保条件要求</w:t>
            </w:r>
            <w:r>
              <w:rPr>
                <w:rFonts w:hint="eastAsia" w:ascii="宋体" w:hAnsi="宋体" w:cs="宋体"/>
                <w:spacing w:val="-2"/>
                <w:szCs w:val="21"/>
              </w:rPr>
              <w:t>）</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kern w:val="0"/>
                <w:szCs w:val="21"/>
              </w:rPr>
            </w:pPr>
            <w:r>
              <w:rPr>
                <w:rFonts w:hint="eastAsia" w:ascii="宋体" w:hAnsi="宋体" w:cs="宋体"/>
                <w:kern w:val="0"/>
                <w:szCs w:val="21"/>
              </w:rPr>
              <w:t>16</w:t>
            </w:r>
          </w:p>
        </w:tc>
        <w:tc>
          <w:tcPr>
            <w:tcW w:w="770" w:type="dxa"/>
            <w:vMerge w:val="continue"/>
            <w:tcBorders>
              <w:left w:val="single" w:color="auto" w:sz="4" w:space="0"/>
              <w:right w:val="single" w:color="auto" w:sz="4" w:space="0"/>
            </w:tcBorders>
            <w:noWrap/>
          </w:tcPr>
          <w:p>
            <w:pPr>
              <w:widowControl/>
              <w:overflowPunct w:val="0"/>
              <w:autoSpaceDE w:val="0"/>
              <w:autoSpaceDN w:val="0"/>
              <w:adjustRightInd w:val="0"/>
              <w:spacing w:line="400" w:lineRule="exact"/>
              <w:jc w:val="left"/>
              <w:textAlignment w:val="baseline"/>
              <w:rPr>
                <w:rFonts w:hint="eastAsia" w:ascii="宋体" w:hAnsi="宋体" w:cs="宋体"/>
                <w:szCs w:val="21"/>
                <w:lang w:val="zh-CN"/>
              </w:rPr>
            </w:pPr>
          </w:p>
        </w:tc>
        <w:tc>
          <w:tcPr>
            <w:tcW w:w="1238" w:type="dxa"/>
            <w:vMerge w:val="continue"/>
            <w:tcBorders>
              <w:left w:val="single" w:color="auto" w:sz="4" w:space="0"/>
              <w:right w:val="single" w:color="auto" w:sz="4" w:space="0"/>
            </w:tcBorders>
            <w:noWrap/>
            <w:vAlign w:val="center"/>
          </w:tcPr>
          <w:p>
            <w:pPr>
              <w:snapToGrid w:val="0"/>
              <w:spacing w:line="400" w:lineRule="exact"/>
              <w:jc w:val="left"/>
              <w:rPr>
                <w:rFonts w:hint="eastAsia" w:ascii="宋体" w:hAnsi="宋体" w:cs="宋体"/>
                <w:szCs w:val="21"/>
                <w:lang w:val="zh-CN"/>
              </w:rPr>
            </w:pPr>
          </w:p>
        </w:tc>
        <w:tc>
          <w:tcPr>
            <w:tcW w:w="5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b/>
                <w:bCs/>
                <w:szCs w:val="21"/>
                <w:lang w:val="zh-CN"/>
              </w:rPr>
            </w:pPr>
            <w:r>
              <w:rPr>
                <w:rStyle w:val="42"/>
                <w:color w:val="auto"/>
                <w:sz w:val="21"/>
                <w:szCs w:val="21"/>
              </w:rPr>
              <w:t xml:space="preserve">C8.3 </w:t>
            </w:r>
            <w:r>
              <w:rPr>
                <w:rFonts w:hint="eastAsia" w:ascii="宋体" w:hAnsi="宋体" w:cs="宋体"/>
                <w:szCs w:val="21"/>
              </w:rPr>
              <w:t>本项目（包4）投入服务团队成员</w:t>
            </w:r>
            <w:r>
              <w:rPr>
                <w:rFonts w:hint="eastAsia" w:ascii="宋体" w:hAnsi="宋体" w:cs="宋体"/>
                <w:spacing w:val="-2"/>
                <w:szCs w:val="21"/>
              </w:rPr>
              <w:t>（</w:t>
            </w:r>
            <w:r>
              <w:rPr>
                <w:rFonts w:hint="eastAsia" w:ascii="宋体" w:hAnsi="宋体" w:cs="宋体"/>
                <w:szCs w:val="21"/>
              </w:rPr>
              <w:t>不含项目经理</w:t>
            </w:r>
            <w:r>
              <w:rPr>
                <w:rFonts w:hint="eastAsia" w:ascii="宋体" w:hAnsi="宋体" w:cs="宋体"/>
                <w:spacing w:val="-2"/>
                <w:szCs w:val="21"/>
              </w:rPr>
              <w:t>）</w:t>
            </w:r>
            <w:r>
              <w:rPr>
                <w:rFonts w:hint="eastAsia" w:ascii="宋体" w:hAnsi="宋体" w:cs="宋体"/>
                <w:szCs w:val="21"/>
              </w:rPr>
              <w:t>具备软件开发类似项目建设经验的，每提供一个得2分，最多得6分</w:t>
            </w:r>
            <w:r>
              <w:rPr>
                <w:rFonts w:hint="eastAsia" w:ascii="宋体" w:hAnsi="宋体" w:cs="宋体"/>
                <w:spacing w:val="-2"/>
                <w:szCs w:val="21"/>
              </w:rPr>
              <w:t>（须同时提供①投标截止时间前6个月内任意一个月为其依法缴纳社保费的证明、②工作经验证明（</w:t>
            </w:r>
            <w:r>
              <w:rPr>
                <w:rFonts w:hint="eastAsia"/>
              </w:rPr>
              <w:t>经验证明材料包含：1、不限于与投标人签订的劳动合同；2、用于计算在职时间的离职证明或在劳动合同所列单位的社保缴交证明。</w:t>
            </w:r>
            <w:r>
              <w:rPr>
                <w:rFonts w:hint="eastAsia" w:ascii="宋体" w:hAnsi="宋体" w:cs="宋体"/>
                <w:spacing w:val="-2"/>
                <w:szCs w:val="21"/>
              </w:rPr>
              <w:t>），否则不得分。</w:t>
            </w:r>
            <w:r>
              <w:rPr>
                <w:rFonts w:hint="eastAsia" w:ascii="宋体" w:hAnsi="宋体" w:cs="宋体"/>
                <w:szCs w:val="21"/>
              </w:rPr>
              <w:t>投标截止时间当月成立的，无法提供为其缴纳社保费证明材料的投标人，提交社保增员时间材料视同满足本项社保条件要求</w:t>
            </w:r>
            <w:r>
              <w:rPr>
                <w:rFonts w:hint="eastAsia" w:ascii="宋体" w:hAnsi="宋体" w:cs="宋体"/>
                <w:spacing w:val="-2"/>
                <w:szCs w:val="21"/>
              </w:rPr>
              <w:t>）。</w:t>
            </w:r>
          </w:p>
        </w:tc>
        <w:tc>
          <w:tcPr>
            <w:tcW w:w="8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eastAsia" w:ascii="宋体" w:hAnsi="宋体" w:cs="宋体"/>
                <w:spacing w:val="-2"/>
                <w:szCs w:val="21"/>
              </w:rPr>
            </w:pPr>
            <w:r>
              <w:rPr>
                <w:rFonts w:hint="eastAsia" w:ascii="宋体" w:hAnsi="宋体" w:cs="宋体"/>
                <w:spacing w:val="-2"/>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合     计</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center"/>
              <w:textAlignment w:val="baseline"/>
              <w:rPr>
                <w:rFonts w:hint="eastAsia" w:ascii="宋体" w:hAnsi="宋体" w:cs="宋体"/>
                <w:b/>
                <w:bCs/>
                <w:kern w:val="0"/>
                <w:szCs w:val="21"/>
              </w:rPr>
            </w:pPr>
            <w:r>
              <w:rPr>
                <w:rFonts w:hint="eastAsia" w:ascii="宋体" w:hAnsi="宋体" w:cs="宋体"/>
                <w:b/>
                <w:bCs/>
                <w:kern w:val="0"/>
                <w:szCs w:val="21"/>
              </w:rPr>
              <w:t xml:space="preserve">100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26"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400" w:lineRule="exact"/>
              <w:jc w:val="left"/>
              <w:textAlignment w:val="baseline"/>
              <w:rPr>
                <w:rFonts w:hint="eastAsia" w:ascii="宋体" w:hAnsi="宋体" w:cs="宋体"/>
                <w:b/>
                <w:bCs/>
                <w:kern w:val="0"/>
                <w:szCs w:val="21"/>
              </w:rPr>
            </w:pPr>
            <w:r>
              <w:rPr>
                <w:rFonts w:hint="eastAsia" w:ascii="宋体" w:hAnsi="宋体" w:cs="宋体"/>
                <w:bCs/>
                <w:szCs w:val="21"/>
              </w:rPr>
              <w:t>注：评分项中涉及的相关证明材料（如证书、公告、合同、通知书、验收证书、荣誉证明等）若有属于“可以通过互联网或者相关信息系统查询的信息”，投标人可不提供复印件，提供查询网址链接、证书编号（或提供查询所需信息）视同响应评分项要求。若评标委员会通过投标人提供的查询网址链接无法查询或查询到信息不符合招标文件要求的，评标委员会将按照不利于投标人的内容进行认定。此条款表述若与上述评分项表述有矛盾，以此条款为准。</w:t>
            </w:r>
          </w:p>
        </w:tc>
      </w:tr>
    </w:tbl>
    <w:p>
      <w:pPr>
        <w:topLinePunct/>
        <w:autoSpaceDE w:val="0"/>
        <w:autoSpaceDN w:val="0"/>
        <w:spacing w:line="400" w:lineRule="exact"/>
        <w:ind w:firstLine="420" w:firstLineChars="200"/>
        <w:rPr>
          <w:rFonts w:ascii="Times New Roman" w:hAnsi="Times New Roman"/>
          <w:szCs w:val="21"/>
        </w:rPr>
      </w:pPr>
    </w:p>
    <w:p>
      <w:pPr>
        <w:topLinePunct/>
        <w:autoSpaceDE w:val="0"/>
        <w:autoSpaceDN w:val="0"/>
        <w:spacing w:line="400" w:lineRule="exact"/>
        <w:ind w:firstLine="420" w:firstLineChars="200"/>
        <w:rPr>
          <w:rFonts w:ascii="Times New Roman" w:hAnsi="Times New Roman"/>
          <w:sz w:val="24"/>
        </w:rPr>
      </w:pPr>
      <w:r>
        <w:rPr>
          <w:rFonts w:ascii="Times New Roman" w:hAnsi="Times New Roman"/>
          <w:szCs w:val="21"/>
        </w:rPr>
        <w:t>2.3 落实政府采购政策进行价格调整的规则：</w:t>
      </w:r>
      <w:r>
        <w:rPr>
          <w:rFonts w:hint="eastAsia" w:ascii="Times New Roman" w:hAnsi="Times New Roman"/>
          <w:szCs w:val="21"/>
        </w:rPr>
        <w:t>（适用采购包1、采购包2、采购包3、采购包4）</w:t>
      </w:r>
    </w:p>
    <w:tbl>
      <w:tblPr>
        <w:tblStyle w:val="25"/>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4532"/>
        <w:gridCol w:w="2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93" w:type="dxa"/>
            <w:vAlign w:val="center"/>
          </w:tcPr>
          <w:p>
            <w:pPr>
              <w:pStyle w:val="31"/>
              <w:widowControl w:val="0"/>
              <w:spacing w:line="400" w:lineRule="exact"/>
              <w:jc w:val="center"/>
              <w:rPr>
                <w:rFonts w:hint="default" w:ascii="Times New Roman" w:hAnsi="Times New Roman"/>
                <w:b/>
                <w:kern w:val="2"/>
                <w:sz w:val="21"/>
                <w:szCs w:val="21"/>
              </w:rPr>
            </w:pPr>
            <w:r>
              <w:rPr>
                <w:rFonts w:hint="default" w:ascii="Times New Roman" w:hAnsi="Times New Roman"/>
                <w:b/>
                <w:kern w:val="2"/>
                <w:sz w:val="21"/>
                <w:szCs w:val="21"/>
              </w:rPr>
              <w:t>政府采购政策</w:t>
            </w:r>
          </w:p>
        </w:tc>
        <w:tc>
          <w:tcPr>
            <w:tcW w:w="4532" w:type="dxa"/>
            <w:vAlign w:val="center"/>
          </w:tcPr>
          <w:p>
            <w:pPr>
              <w:pStyle w:val="31"/>
              <w:widowControl w:val="0"/>
              <w:spacing w:line="400" w:lineRule="exact"/>
              <w:jc w:val="center"/>
              <w:rPr>
                <w:rFonts w:hint="default" w:ascii="Times New Roman" w:hAnsi="Times New Roman"/>
                <w:b/>
                <w:kern w:val="2"/>
                <w:sz w:val="21"/>
                <w:szCs w:val="21"/>
              </w:rPr>
            </w:pPr>
            <w:r>
              <w:rPr>
                <w:rFonts w:hint="default" w:ascii="Times New Roman" w:hAnsi="Times New Roman"/>
                <w:b/>
                <w:kern w:val="2"/>
                <w:sz w:val="21"/>
                <w:szCs w:val="21"/>
              </w:rPr>
              <w:t>价格扣除规则</w:t>
            </w:r>
          </w:p>
        </w:tc>
        <w:tc>
          <w:tcPr>
            <w:tcW w:w="2859" w:type="dxa"/>
            <w:vAlign w:val="center"/>
          </w:tcPr>
          <w:p>
            <w:pPr>
              <w:pStyle w:val="31"/>
              <w:widowControl w:val="0"/>
              <w:spacing w:line="400" w:lineRule="exact"/>
              <w:jc w:val="center"/>
              <w:rPr>
                <w:rFonts w:hint="default" w:ascii="Times New Roman" w:hAnsi="Times New Roman"/>
                <w:b/>
                <w:kern w:val="2"/>
                <w:sz w:val="21"/>
                <w:szCs w:val="21"/>
              </w:rPr>
            </w:pPr>
            <w:r>
              <w:rPr>
                <w:rFonts w:hint="default" w:ascii="Times New Roman" w:hAnsi="Times New Roman"/>
                <w:b/>
                <w:kern w:val="2"/>
                <w:sz w:val="21"/>
                <w:szCs w:val="21"/>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3"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节约能源政策</w:t>
            </w:r>
          </w:p>
        </w:tc>
        <w:tc>
          <w:tcPr>
            <w:tcW w:w="4532"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本项目不适用</w:t>
            </w:r>
          </w:p>
        </w:tc>
        <w:tc>
          <w:tcPr>
            <w:tcW w:w="2859"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3"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保护环境政策</w:t>
            </w:r>
          </w:p>
        </w:tc>
        <w:tc>
          <w:tcPr>
            <w:tcW w:w="4532"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本项目不适用</w:t>
            </w:r>
          </w:p>
        </w:tc>
        <w:tc>
          <w:tcPr>
            <w:tcW w:w="2859"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3"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促进中小企业</w:t>
            </w:r>
          </w:p>
          <w:p>
            <w:pPr>
              <w:pStyle w:val="31"/>
              <w:widowControl w:val="0"/>
              <w:spacing w:line="400" w:lineRule="exact"/>
              <w:jc w:val="center"/>
              <w:rPr>
                <w:rFonts w:ascii="宋体" w:hAnsi="宋体"/>
                <w:kern w:val="2"/>
                <w:sz w:val="21"/>
                <w:szCs w:val="21"/>
              </w:rPr>
            </w:pPr>
            <w:r>
              <w:rPr>
                <w:rFonts w:ascii="宋体" w:hAnsi="宋体"/>
                <w:kern w:val="2"/>
                <w:sz w:val="21"/>
                <w:szCs w:val="21"/>
              </w:rPr>
              <w:t>发展政策</w:t>
            </w:r>
          </w:p>
        </w:tc>
        <w:tc>
          <w:tcPr>
            <w:tcW w:w="4532" w:type="dxa"/>
            <w:vAlign w:val="center"/>
          </w:tcPr>
          <w:p>
            <w:pPr>
              <w:pStyle w:val="31"/>
              <w:widowControl w:val="0"/>
              <w:spacing w:line="400" w:lineRule="exact"/>
              <w:rPr>
                <w:rFonts w:hint="default"/>
                <w:b/>
                <w:bCs/>
                <w:kern w:val="2"/>
                <w:sz w:val="21"/>
                <w:szCs w:val="22"/>
              </w:rPr>
            </w:pPr>
            <w:r>
              <w:rPr>
                <w:kern w:val="2"/>
                <w:sz w:val="21"/>
                <w:szCs w:val="22"/>
              </w:rPr>
              <w:t>根据财政部、工业和信息化部关于发布《政府采购促进中小企业发展管理办法》（财库[2020]46号）和《关于进一步加大政府采购支持中小企业力度的通知》（财库﹝2022﹞19号）规定，对于承接本项目服务的小型和微型企业，在价格评审时给予10%～20%的扣除，本项目的扣除比例为20%，用扣除后的价格参与评审。本项目为服务类采购项目，对应的中小企业划分标准所属行业为</w:t>
            </w:r>
            <w:r>
              <w:rPr>
                <w:b/>
                <w:bCs/>
                <w:kern w:val="2"/>
                <w:sz w:val="21"/>
                <w:szCs w:val="22"/>
              </w:rPr>
              <w:t>软件和信息技术服务业。</w:t>
            </w:r>
            <w:r>
              <w:rPr>
                <w:kern w:val="2"/>
                <w:sz w:val="21"/>
                <w:szCs w:val="22"/>
              </w:rPr>
              <w:t>投标人须在投标文件中提供《中小企业声明函》，否则在评审时将不给予价格扣除。</w:t>
            </w:r>
          </w:p>
        </w:tc>
        <w:tc>
          <w:tcPr>
            <w:tcW w:w="2859" w:type="dxa"/>
            <w:vAlign w:val="center"/>
          </w:tcPr>
          <w:p>
            <w:pPr>
              <w:pStyle w:val="31"/>
              <w:widowControl w:val="0"/>
              <w:spacing w:line="400" w:lineRule="exact"/>
              <w:rPr>
                <w:rFonts w:ascii="宋体" w:hAnsi="宋体"/>
                <w:kern w:val="2"/>
                <w:sz w:val="21"/>
                <w:szCs w:val="21"/>
              </w:rPr>
            </w:pPr>
            <w:r>
              <w:t>在服务采购项目中，满足服务由中小企业承接，即提供服务的人员为中小企业依照《中华人民共和国劳动合同法》订立劳动合同的从业人员的，可享受中小企业扶持政策。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3"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促进残疾人就业政策</w:t>
            </w:r>
          </w:p>
        </w:tc>
        <w:tc>
          <w:tcPr>
            <w:tcW w:w="4532" w:type="dxa"/>
            <w:vAlign w:val="center"/>
          </w:tcPr>
          <w:p>
            <w:pPr>
              <w:pStyle w:val="31"/>
              <w:widowControl w:val="0"/>
              <w:spacing w:line="400" w:lineRule="exact"/>
              <w:rPr>
                <w:rFonts w:ascii="宋体" w:hAnsi="宋体"/>
                <w:kern w:val="2"/>
                <w:sz w:val="21"/>
                <w:szCs w:val="21"/>
              </w:rPr>
            </w:pPr>
            <w:r>
              <w:rPr>
                <w:rFonts w:hint="default" w:ascii="Times New Roman" w:hAnsi="Times New Roman"/>
                <w:sz w:val="21"/>
                <w:szCs w:val="21"/>
              </w:rPr>
              <w:t>按照</w:t>
            </w:r>
            <w:r>
              <w:rPr>
                <w:rFonts w:ascii="Times New Roman" w:hAnsi="Times New Roman"/>
                <w:sz w:val="21"/>
                <w:szCs w:val="21"/>
              </w:rPr>
              <w:t>本</w:t>
            </w:r>
            <w:r>
              <w:rPr>
                <w:rFonts w:hint="default" w:ascii="Times New Roman" w:hAnsi="Times New Roman"/>
                <w:b/>
                <w:bCs/>
                <w:sz w:val="21"/>
                <w:szCs w:val="21"/>
              </w:rPr>
              <w:t>表</w:t>
            </w:r>
            <w:r>
              <w:rPr>
                <w:rFonts w:ascii="Times New Roman" w:hAnsi="Times New Roman"/>
                <w:b/>
                <w:bCs/>
                <w:sz w:val="21"/>
                <w:szCs w:val="21"/>
              </w:rPr>
              <w:t>“促进中小企业发展政策”</w:t>
            </w:r>
            <w:r>
              <w:rPr>
                <w:rFonts w:hint="default" w:ascii="Times New Roman" w:hAnsi="Times New Roman"/>
                <w:sz w:val="21"/>
                <w:szCs w:val="21"/>
              </w:rPr>
              <w:t>享受价格扣除政策</w:t>
            </w:r>
            <w:r>
              <w:rPr>
                <w:rFonts w:ascii="Times New Roman" w:hAnsi="Times New Roman"/>
                <w:sz w:val="21"/>
                <w:szCs w:val="21"/>
              </w:rPr>
              <w:t>，残疾人福利性单位须在投标文件中提供《残疾人福利性单位声明函》并对声明的真实性负责，否则评审时不予价格扣除优惠。</w:t>
            </w:r>
          </w:p>
        </w:tc>
        <w:tc>
          <w:tcPr>
            <w:tcW w:w="2859" w:type="dxa"/>
            <w:vAlign w:val="center"/>
          </w:tcPr>
          <w:p>
            <w:pPr>
              <w:pStyle w:val="31"/>
              <w:widowControl w:val="0"/>
              <w:spacing w:line="400" w:lineRule="exact"/>
              <w:jc w:val="center"/>
              <w:rPr>
                <w:rFonts w:ascii="宋体" w:hAnsi="宋体"/>
                <w:kern w:val="2"/>
                <w:sz w:val="21"/>
                <w:szCs w:val="21"/>
              </w:rPr>
            </w:pPr>
            <w:r>
              <w:rPr>
                <w:rFonts w:hint="default" w:ascii="Times New Roman" w:hAnsi="Times New Roman"/>
                <w:sz w:val="21"/>
                <w:szCs w:val="21"/>
              </w:rPr>
              <w:t>根据《关于政府采购支持监狱企业发展有关问题的通知》（财库〔2014〕68号），监狱企业视同小型、微型企业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3" w:type="dxa"/>
            <w:vAlign w:val="center"/>
          </w:tcPr>
          <w:p>
            <w:pPr>
              <w:pStyle w:val="31"/>
              <w:widowControl w:val="0"/>
              <w:spacing w:line="400" w:lineRule="exact"/>
              <w:jc w:val="center"/>
              <w:rPr>
                <w:rFonts w:ascii="宋体" w:hAnsi="宋体"/>
                <w:kern w:val="2"/>
                <w:sz w:val="21"/>
                <w:szCs w:val="21"/>
              </w:rPr>
            </w:pPr>
            <w:r>
              <w:rPr>
                <w:rFonts w:ascii="宋体" w:hAnsi="宋体"/>
                <w:kern w:val="2"/>
                <w:sz w:val="21"/>
                <w:szCs w:val="21"/>
              </w:rPr>
              <w:t>支持监狱企业</w:t>
            </w:r>
          </w:p>
          <w:p>
            <w:pPr>
              <w:pStyle w:val="31"/>
              <w:widowControl w:val="0"/>
              <w:spacing w:line="400" w:lineRule="exact"/>
              <w:jc w:val="center"/>
              <w:rPr>
                <w:rFonts w:ascii="宋体" w:hAnsi="宋体"/>
                <w:kern w:val="2"/>
                <w:sz w:val="21"/>
                <w:szCs w:val="21"/>
              </w:rPr>
            </w:pPr>
            <w:r>
              <w:rPr>
                <w:rFonts w:ascii="宋体" w:hAnsi="宋体"/>
                <w:kern w:val="2"/>
                <w:sz w:val="21"/>
                <w:szCs w:val="21"/>
              </w:rPr>
              <w:t>发展政策</w:t>
            </w:r>
          </w:p>
        </w:tc>
        <w:tc>
          <w:tcPr>
            <w:tcW w:w="4532" w:type="dxa"/>
            <w:vAlign w:val="center"/>
          </w:tcPr>
          <w:p>
            <w:pPr>
              <w:pStyle w:val="31"/>
              <w:widowControl w:val="0"/>
              <w:spacing w:line="400" w:lineRule="exact"/>
              <w:rPr>
                <w:rFonts w:ascii="宋体" w:hAnsi="宋体"/>
                <w:kern w:val="2"/>
                <w:sz w:val="21"/>
                <w:szCs w:val="21"/>
              </w:rPr>
            </w:pPr>
            <w:r>
              <w:rPr>
                <w:rFonts w:hint="default" w:ascii="Times New Roman" w:hAnsi="Times New Roman"/>
                <w:sz w:val="21"/>
                <w:szCs w:val="21"/>
              </w:rPr>
              <w:t>按照</w:t>
            </w:r>
            <w:r>
              <w:rPr>
                <w:rFonts w:ascii="Times New Roman" w:hAnsi="Times New Roman"/>
                <w:sz w:val="21"/>
                <w:szCs w:val="21"/>
              </w:rPr>
              <w:t>本</w:t>
            </w:r>
            <w:r>
              <w:rPr>
                <w:rFonts w:hint="default" w:ascii="Times New Roman" w:hAnsi="Times New Roman"/>
                <w:b/>
                <w:bCs/>
                <w:sz w:val="21"/>
                <w:szCs w:val="21"/>
              </w:rPr>
              <w:t>表</w:t>
            </w:r>
            <w:r>
              <w:rPr>
                <w:rFonts w:ascii="Times New Roman" w:hAnsi="Times New Roman"/>
                <w:b/>
                <w:bCs/>
                <w:sz w:val="21"/>
                <w:szCs w:val="21"/>
              </w:rPr>
              <w:t>“促进中小企业发展政策”</w:t>
            </w:r>
            <w:r>
              <w:rPr>
                <w:rFonts w:hint="default" w:ascii="Times New Roman" w:hAnsi="Times New Roman"/>
                <w:sz w:val="21"/>
                <w:szCs w:val="21"/>
              </w:rPr>
              <w:t>享受价格扣除政策</w:t>
            </w:r>
            <w:r>
              <w:rPr>
                <w:rFonts w:ascii="Times New Roman" w:hAnsi="Times New Roman"/>
                <w:sz w:val="21"/>
                <w:szCs w:val="21"/>
              </w:rPr>
              <w:t>，监狱企业须在投标文件中提供由省级以上监狱管理局、戒毒管理局（含新疆生产建设兵团）出具的属于监狱企业的证明文件，否则在评审时将不给予价格扣除</w:t>
            </w:r>
            <w:r>
              <w:rPr>
                <w:rFonts w:hint="default" w:ascii="Times New Roman" w:hAnsi="Times New Roman"/>
                <w:sz w:val="21"/>
                <w:szCs w:val="21"/>
              </w:rPr>
              <w:t>。</w:t>
            </w:r>
          </w:p>
        </w:tc>
        <w:tc>
          <w:tcPr>
            <w:tcW w:w="2859" w:type="dxa"/>
            <w:vAlign w:val="center"/>
          </w:tcPr>
          <w:p>
            <w:pPr>
              <w:pStyle w:val="31"/>
              <w:widowControl w:val="0"/>
              <w:spacing w:line="400" w:lineRule="exact"/>
              <w:jc w:val="center"/>
              <w:rPr>
                <w:rFonts w:ascii="宋体" w:hAnsi="宋体"/>
                <w:kern w:val="2"/>
                <w:sz w:val="21"/>
                <w:szCs w:val="21"/>
              </w:rPr>
            </w:pPr>
            <w:r>
              <w:rPr>
                <w:rFonts w:hint="default" w:ascii="Times New Roman" w:hAnsi="Times New Roman"/>
                <w:sz w:val="21"/>
                <w:szCs w:val="21"/>
              </w:rPr>
              <w:t>根据《关于促进残疾人就业政府采购政策的通知》（财库〔2017〕141号），残疾人福利性单位视同小型、微型企业</w:t>
            </w:r>
          </w:p>
        </w:tc>
      </w:tr>
    </w:tbl>
    <w:p>
      <w:pPr>
        <w:topLinePunct/>
        <w:autoSpaceDE w:val="0"/>
        <w:autoSpaceDN w:val="0"/>
        <w:spacing w:line="400" w:lineRule="exact"/>
        <w:ind w:firstLine="420" w:firstLineChars="200"/>
        <w:rPr>
          <w:rFonts w:ascii="Times New Roman" w:hAnsi="Times New Roman"/>
          <w:szCs w:val="21"/>
        </w:rPr>
      </w:pPr>
      <w:r>
        <w:rPr>
          <w:rFonts w:ascii="Times New Roman" w:hAnsi="Times New Roman"/>
          <w:szCs w:val="21"/>
        </w:rPr>
        <w:t>2.4推荐中标候选人</w:t>
      </w:r>
      <w:r>
        <w:rPr>
          <w:rFonts w:hint="eastAsia" w:ascii="Times New Roman" w:hAnsi="Times New Roman"/>
          <w:szCs w:val="21"/>
        </w:rPr>
        <w:t>（适用采购包1、采购包2、采购包3、采购包4）</w:t>
      </w:r>
    </w:p>
    <w:p>
      <w:pPr>
        <w:widowControl/>
        <w:topLinePunct/>
        <w:autoSpaceDE w:val="0"/>
        <w:autoSpaceDN w:val="0"/>
        <w:adjustRightInd w:val="0"/>
        <w:snapToGrid w:val="0"/>
        <w:spacing w:line="400" w:lineRule="exact"/>
        <w:ind w:firstLine="420" w:firstLineChars="200"/>
        <w:rPr>
          <w:rFonts w:ascii="Times New Roman" w:hAnsi="Times New Roman"/>
          <w:szCs w:val="21"/>
        </w:rPr>
      </w:pPr>
      <w:r>
        <w:rPr>
          <w:rFonts w:ascii="Times New Roman" w:hAnsi="Times New Roman"/>
          <w:szCs w:val="21"/>
        </w:rPr>
        <w:t>2.4.1按</w:t>
      </w:r>
      <w:r>
        <w:rPr>
          <w:rFonts w:hint="eastAsia" w:ascii="Times New Roman" w:hAnsi="Times New Roman"/>
          <w:szCs w:val="21"/>
        </w:rPr>
        <w:t>各采购包</w:t>
      </w:r>
      <w:r>
        <w:rPr>
          <w:rFonts w:ascii="Times New Roman" w:hAnsi="Times New Roman"/>
          <w:szCs w:val="21"/>
        </w:rPr>
        <w:t>评审后得分由高到低顺序排列。得分相同的，按投标报价由低到高顺序排列。得分且投标报价相同的并列。</w:t>
      </w:r>
    </w:p>
    <w:p>
      <w:pPr>
        <w:widowControl/>
        <w:topLinePunct/>
        <w:autoSpaceDE w:val="0"/>
        <w:autoSpaceDN w:val="0"/>
        <w:adjustRightInd w:val="0"/>
        <w:snapToGrid w:val="0"/>
        <w:spacing w:line="400" w:lineRule="exact"/>
        <w:ind w:firstLine="420" w:firstLineChars="200"/>
        <w:rPr>
          <w:rFonts w:ascii="Times New Roman" w:hAnsi="Times New Roman"/>
          <w:szCs w:val="21"/>
        </w:rPr>
      </w:pPr>
      <w:r>
        <w:rPr>
          <w:rFonts w:ascii="Times New Roman" w:hAnsi="Times New Roman"/>
          <w:szCs w:val="21"/>
        </w:rPr>
        <w:t>2.4.2推荐中标候选人的数量：</w:t>
      </w:r>
      <w:r>
        <w:rPr>
          <w:rFonts w:hint="eastAsia" w:ascii="Times New Roman" w:hAnsi="Times New Roman"/>
          <w:szCs w:val="21"/>
        </w:rPr>
        <w:t>采购包1、采购包2、采购包3、采购包4各</w:t>
      </w:r>
      <w:r>
        <w:rPr>
          <w:rFonts w:hint="eastAsia" w:ascii="Times New Roman" w:hAnsi="Times New Roman"/>
          <w:szCs w:val="21"/>
          <w:u w:val="single"/>
        </w:rPr>
        <w:t>1</w:t>
      </w:r>
      <w:r>
        <w:rPr>
          <w:rFonts w:ascii="Times New Roman" w:hAnsi="Times New Roman"/>
          <w:szCs w:val="21"/>
        </w:rPr>
        <w:t>家。</w:t>
      </w:r>
    </w:p>
    <w:p>
      <w:pPr>
        <w:widowControl/>
        <w:topLinePunct/>
        <w:autoSpaceDE w:val="0"/>
        <w:autoSpaceDN w:val="0"/>
        <w:adjustRightInd w:val="0"/>
        <w:snapToGrid w:val="0"/>
        <w:spacing w:line="400" w:lineRule="exact"/>
        <w:ind w:firstLine="420" w:firstLineChars="200"/>
        <w:rPr>
          <w:rFonts w:ascii="Times New Roman" w:hAnsi="Times New Roman"/>
          <w:szCs w:val="21"/>
        </w:rPr>
      </w:pPr>
      <w:r>
        <w:rPr>
          <w:rFonts w:ascii="Times New Roman" w:hAnsi="Times New Roman"/>
          <w:szCs w:val="21"/>
        </w:rPr>
        <w:t>2.4.</w:t>
      </w:r>
      <w:r>
        <w:rPr>
          <w:rFonts w:hint="eastAsia" w:ascii="Times New Roman" w:hAnsi="Times New Roman"/>
          <w:szCs w:val="21"/>
        </w:rPr>
        <w:t>3</w:t>
      </w:r>
      <w:r>
        <w:rPr>
          <w:rFonts w:ascii="Times New Roman" w:hAnsi="Times New Roman"/>
          <w:szCs w:val="21"/>
        </w:rPr>
        <w:t>中标人数量：</w:t>
      </w:r>
      <w:r>
        <w:rPr>
          <w:rFonts w:hint="eastAsia" w:ascii="Times New Roman" w:hAnsi="Times New Roman"/>
          <w:szCs w:val="21"/>
        </w:rPr>
        <w:t>采购包1、采购包2、采购包3、采购包4各</w:t>
      </w:r>
      <w:r>
        <w:rPr>
          <w:rFonts w:hint="eastAsia" w:ascii="Times New Roman" w:hAnsi="Times New Roman"/>
          <w:szCs w:val="21"/>
          <w:u w:val="single"/>
        </w:rPr>
        <w:t>1</w:t>
      </w:r>
      <w:r>
        <w:rPr>
          <w:rFonts w:ascii="Times New Roman" w:hAnsi="Times New Roman"/>
          <w:szCs w:val="21"/>
        </w:rPr>
        <w:t>家。</w:t>
      </w:r>
    </w:p>
    <w:p>
      <w:pPr>
        <w:widowControl/>
        <w:topLinePunct/>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中标候选人并列的，</w:t>
      </w:r>
      <w:r>
        <w:rPr>
          <w:rFonts w:hint="eastAsia" w:ascii="宋体" w:hAnsi="宋体"/>
          <w:szCs w:val="21"/>
        </w:rPr>
        <w:t>按照</w:t>
      </w:r>
      <w:r>
        <w:rPr>
          <w:rFonts w:hint="eastAsia" w:ascii="宋体" w:hAnsi="宋体"/>
          <w:szCs w:val="21"/>
          <w:u w:val="single"/>
        </w:rPr>
        <w:t>投标报价由低到高</w:t>
      </w:r>
      <w:r>
        <w:rPr>
          <w:rFonts w:ascii="宋体" w:hAnsi="宋体"/>
          <w:szCs w:val="21"/>
        </w:rPr>
        <w:t>的方式确定中标人。招标文件未规定的，采取</w:t>
      </w:r>
      <w:r>
        <w:rPr>
          <w:rFonts w:ascii="宋体" w:hAnsi="宋体" w:cs="宋体"/>
          <w:szCs w:val="21"/>
        </w:rPr>
        <w:t>随机</w:t>
      </w:r>
      <w:r>
        <w:rPr>
          <w:rFonts w:ascii="宋体" w:hAnsi="宋体"/>
          <w:szCs w:val="21"/>
        </w:rPr>
        <w:t>抽取的方式确定。</w:t>
      </w:r>
    </w:p>
    <w:p>
      <w:pPr>
        <w:spacing w:line="400" w:lineRule="exact"/>
        <w:rPr>
          <w:szCs w:val="21"/>
        </w:rPr>
        <w:sectPr>
          <w:pgSz w:w="11906" w:h="16838"/>
          <w:pgMar w:top="1440" w:right="1752" w:bottom="1440" w:left="1752" w:header="851" w:footer="992" w:gutter="0"/>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43" w:name="_Toc38030150"/>
      <w:bookmarkStart w:id="44" w:name="_Toc1484421284"/>
      <w:bookmarkStart w:id="45" w:name="_Toc614538032"/>
      <w:bookmarkStart w:id="46" w:name="_Toc1505390621"/>
      <w:bookmarkStart w:id="47" w:name="_Toc353483817"/>
      <w:bookmarkStart w:id="48" w:name="_Toc525052847"/>
      <w:bookmarkStart w:id="49" w:name="_Toc26132"/>
      <w:bookmarkStart w:id="50" w:name="_Toc132880283"/>
      <w:bookmarkStart w:id="51" w:name="_Toc1914430521"/>
      <w:bookmarkStart w:id="52" w:name="_Toc1406510925"/>
      <w:r>
        <w:rPr>
          <w:rFonts w:hint="eastAsia" w:ascii="华文中宋" w:hAnsi="华文中宋" w:eastAsia="华文中宋" w:cs="华文中宋"/>
          <w:sz w:val="28"/>
          <w:szCs w:val="28"/>
        </w:rPr>
        <w:t>第四章  政府采购合同文本</w:t>
      </w:r>
      <w:bookmarkEnd w:id="43"/>
      <w:bookmarkEnd w:id="44"/>
      <w:bookmarkEnd w:id="45"/>
      <w:bookmarkEnd w:id="46"/>
      <w:bookmarkEnd w:id="47"/>
      <w:bookmarkEnd w:id="48"/>
      <w:bookmarkEnd w:id="49"/>
      <w:bookmarkEnd w:id="50"/>
      <w:bookmarkEnd w:id="51"/>
      <w:bookmarkEnd w:id="52"/>
    </w:p>
    <w:p>
      <w:pPr>
        <w:pStyle w:val="11"/>
        <w:jc w:val="center"/>
        <w:rPr>
          <w:rFonts w:hint="eastAsia" w:hAnsi="宋体" w:cs="宋体"/>
          <w:b/>
          <w:sz w:val="96"/>
          <w:szCs w:val="96"/>
        </w:rPr>
      </w:pPr>
    </w:p>
    <w:p>
      <w:pPr>
        <w:pStyle w:val="11"/>
        <w:jc w:val="center"/>
        <w:rPr>
          <w:rFonts w:hint="eastAsia" w:hAnsi="宋体" w:cs="宋体"/>
          <w:b/>
          <w:sz w:val="96"/>
          <w:szCs w:val="96"/>
        </w:rPr>
      </w:pPr>
    </w:p>
    <w:p>
      <w:pPr>
        <w:pStyle w:val="11"/>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合 同 书</w:t>
      </w:r>
    </w:p>
    <w:p>
      <w:pPr>
        <w:pStyle w:val="11"/>
        <w:jc w:val="center"/>
        <w:rPr>
          <w:rFonts w:hint="eastAsia" w:ascii="华文中宋" w:hAnsi="华文中宋" w:eastAsia="华文中宋" w:cs="华文中宋"/>
          <w:bCs/>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ind w:left="1680" w:leftChars="800"/>
        <w:jc w:val="center"/>
        <w:rPr>
          <w:rFonts w:hint="eastAsia" w:ascii="宋体" w:hAnsi="宋体" w:cs="宋体"/>
          <w:sz w:val="32"/>
          <w:szCs w:val="32"/>
        </w:rPr>
      </w:pPr>
    </w:p>
    <w:p>
      <w:pPr>
        <w:tabs>
          <w:tab w:val="left" w:pos="2160"/>
        </w:tabs>
        <w:topLinePunct/>
        <w:autoSpaceDE w:val="0"/>
        <w:autoSpaceDN w:val="0"/>
        <w:snapToGrid w:val="0"/>
        <w:spacing w:line="360" w:lineRule="auto"/>
        <w:ind w:firstLine="480" w:firstLineChars="200"/>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 xml:space="preserve">项目名称： 福建税务2024年税费业务场景区块链基础平台应用推广项目 </w:t>
      </w:r>
    </w:p>
    <w:p>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包    号：</w:t>
      </w:r>
      <w:r>
        <w:rPr>
          <w:rFonts w:hint="eastAsia" w:ascii="方正小标宋简体" w:hAnsi="方正小标宋简体" w:eastAsia="方正小标宋简体" w:cs="方正小标宋简体"/>
          <w:bCs/>
          <w:sz w:val="24"/>
          <w:szCs w:val="24"/>
          <w:u w:val="single"/>
        </w:rPr>
        <w:t xml:space="preserve">      </w:t>
      </w:r>
    </w:p>
    <w:p>
      <w:pPr>
        <w:tabs>
          <w:tab w:val="left" w:pos="540"/>
          <w:tab w:val="left" w:pos="1080"/>
          <w:tab w:val="left" w:pos="1440"/>
        </w:tabs>
        <w:snapToGrid w:val="0"/>
        <w:spacing w:line="360" w:lineRule="auto"/>
        <w:ind w:left="2100" w:leftChars="1000"/>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合同编号：</w:t>
      </w:r>
      <w:r>
        <w:rPr>
          <w:rFonts w:hint="eastAsia" w:ascii="方正小标宋简体" w:hAnsi="方正小标宋简体" w:eastAsia="方正小标宋简体" w:cs="方正小标宋简体"/>
          <w:bCs/>
          <w:sz w:val="24"/>
          <w:szCs w:val="24"/>
          <w:u w:val="single"/>
        </w:rPr>
        <w:t xml:space="preserve">                   </w:t>
      </w:r>
      <w:r>
        <w:rPr>
          <w:rFonts w:hint="eastAsia" w:ascii="方正小标宋简体" w:hAnsi="方正小标宋简体" w:eastAsia="方正小标宋简体" w:cs="方正小标宋简体"/>
          <w:bCs/>
          <w:sz w:val="24"/>
          <w:szCs w:val="24"/>
        </w:rPr>
        <w:t xml:space="preserve"> </w:t>
      </w:r>
    </w:p>
    <w:p>
      <w:pPr>
        <w:tabs>
          <w:tab w:val="left" w:pos="2160"/>
        </w:tabs>
        <w:topLinePunct/>
        <w:autoSpaceDE w:val="0"/>
        <w:autoSpaceDN w:val="0"/>
        <w:snapToGrid w:val="0"/>
        <w:spacing w:line="360" w:lineRule="auto"/>
        <w:ind w:left="2880" w:leftChars="800" w:hanging="1200" w:hangingChars="500"/>
        <w:rPr>
          <w:rFonts w:hint="eastAsia" w:ascii="方正小标宋简体" w:hAnsi="方正小标宋简体" w:eastAsia="方正小标宋简体" w:cs="方正小标宋简体"/>
          <w:bCs/>
          <w:sz w:val="24"/>
          <w:szCs w:val="24"/>
        </w:rPr>
      </w:pPr>
    </w:p>
    <w:p>
      <w:pPr>
        <w:pStyle w:val="11"/>
        <w:spacing w:line="460" w:lineRule="exact"/>
        <w:jc w:val="center"/>
        <w:rPr>
          <w:rFonts w:hint="eastAsia" w:ascii="方正小标宋简体" w:hAnsi="方正小标宋简体" w:eastAsia="方正小标宋简体" w:cs="方正小标宋简体"/>
          <w:bCs/>
          <w:sz w:val="24"/>
          <w:szCs w:val="24"/>
        </w:rPr>
      </w:pPr>
    </w:p>
    <w:p>
      <w:pPr>
        <w:pStyle w:val="11"/>
        <w:tabs>
          <w:tab w:val="left" w:pos="3045"/>
        </w:tabs>
        <w:spacing w:line="460" w:lineRule="exact"/>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ab/>
      </w:r>
    </w:p>
    <w:p>
      <w:pPr>
        <w:pStyle w:val="11"/>
        <w:spacing w:line="460" w:lineRule="exact"/>
        <w:rPr>
          <w:rFonts w:hint="eastAsia" w:ascii="方正小标宋简体" w:hAnsi="方正小标宋简体" w:eastAsia="方正小标宋简体" w:cs="方正小标宋简体"/>
          <w:bCs/>
          <w:sz w:val="24"/>
          <w:szCs w:val="24"/>
        </w:rPr>
      </w:pPr>
    </w:p>
    <w:p>
      <w:pPr>
        <w:pStyle w:val="11"/>
        <w:spacing w:line="460" w:lineRule="exact"/>
        <w:jc w:val="center"/>
        <w:rPr>
          <w:rFonts w:hint="eastAsia" w:ascii="方正小标宋简体" w:hAnsi="方正小标宋简体" w:eastAsia="方正小标宋简体" w:cs="方正小标宋简体"/>
          <w:bCs/>
          <w:sz w:val="24"/>
          <w:szCs w:val="24"/>
        </w:rPr>
      </w:pPr>
    </w:p>
    <w:p>
      <w:pPr>
        <w:spacing w:line="300" w:lineRule="auto"/>
        <w:ind w:left="840" w:leftChars="400" w:firstLine="1298" w:firstLineChars="541"/>
        <w:rPr>
          <w:rFonts w:hint="eastAsia" w:ascii="方正小标宋简体" w:hAnsi="方正小标宋简体" w:eastAsia="方正小标宋简体" w:cs="方正小标宋简体"/>
          <w:bCs/>
          <w:sz w:val="24"/>
          <w:szCs w:val="24"/>
        </w:rPr>
      </w:pPr>
      <w:r>
        <w:rPr>
          <w:rFonts w:hint="eastAsia" w:ascii="方正小标宋简体" w:hAnsi="方正小标宋简体" w:eastAsia="方正小标宋简体" w:cs="方正小标宋简体"/>
          <w:bCs/>
          <w:sz w:val="24"/>
          <w:szCs w:val="24"/>
        </w:rPr>
        <w:t xml:space="preserve">甲    方： </w:t>
      </w:r>
      <w:r>
        <w:rPr>
          <w:rFonts w:hint="eastAsia" w:ascii="方正小标宋简体" w:hAnsi="方正小标宋简体" w:eastAsia="方正小标宋简体" w:cs="方正小标宋简体"/>
          <w:bCs/>
          <w:sz w:val="24"/>
          <w:szCs w:val="24"/>
          <w:u w:val="single"/>
        </w:rPr>
        <w:t xml:space="preserve">   国家税务总局福建省税务局   </w:t>
      </w:r>
    </w:p>
    <w:p>
      <w:pPr>
        <w:spacing w:line="300" w:lineRule="auto"/>
        <w:ind w:left="840" w:leftChars="400" w:firstLine="1298" w:firstLineChars="541"/>
        <w:rPr>
          <w:rFonts w:hint="eastAsia" w:ascii="方正小标宋简体" w:hAnsi="方正小标宋简体" w:eastAsia="方正小标宋简体" w:cs="方正小标宋简体"/>
          <w:bCs/>
          <w:sz w:val="24"/>
          <w:szCs w:val="24"/>
          <w:u w:val="single"/>
        </w:rPr>
      </w:pPr>
      <w:r>
        <w:rPr>
          <w:rFonts w:hint="eastAsia" w:ascii="方正小标宋简体" w:hAnsi="方正小标宋简体" w:eastAsia="方正小标宋简体" w:cs="方正小标宋简体"/>
          <w:bCs/>
          <w:sz w:val="24"/>
          <w:szCs w:val="24"/>
        </w:rPr>
        <w:t xml:space="preserve">乙    方： </w:t>
      </w:r>
      <w:r>
        <w:rPr>
          <w:rFonts w:hint="eastAsia" w:ascii="方正小标宋简体" w:hAnsi="方正小标宋简体" w:eastAsia="方正小标宋简体" w:cs="方正小标宋简体"/>
          <w:bCs/>
          <w:sz w:val="24"/>
          <w:szCs w:val="24"/>
          <w:u w:val="single"/>
        </w:rPr>
        <w:t xml:space="preserve">                             </w:t>
      </w:r>
    </w:p>
    <w:p>
      <w:pPr>
        <w:spacing w:line="300" w:lineRule="auto"/>
        <w:ind w:left="840" w:leftChars="400" w:firstLine="1298" w:firstLineChars="541"/>
        <w:rPr>
          <w:rFonts w:hint="eastAsia" w:ascii="方正小标宋简体" w:hAnsi="方正小标宋简体" w:eastAsia="方正小标宋简体" w:cs="方正小标宋简体"/>
          <w:bCs/>
          <w:sz w:val="24"/>
          <w:szCs w:val="24"/>
          <w:u w:val="single"/>
        </w:rPr>
      </w:pPr>
      <w:r>
        <w:rPr>
          <w:rFonts w:hint="eastAsia" w:ascii="方正小标宋简体" w:hAnsi="方正小标宋简体" w:eastAsia="方正小标宋简体" w:cs="方正小标宋简体"/>
          <w:bCs/>
          <w:sz w:val="24"/>
          <w:szCs w:val="24"/>
        </w:rPr>
        <w:t xml:space="preserve">日    期： </w:t>
      </w:r>
      <w:r>
        <w:rPr>
          <w:rFonts w:hint="eastAsia" w:ascii="方正小标宋简体" w:hAnsi="方正小标宋简体" w:eastAsia="方正小标宋简体" w:cs="方正小标宋简体"/>
          <w:bCs/>
          <w:sz w:val="24"/>
          <w:szCs w:val="24"/>
          <w:u w:val="single"/>
        </w:rPr>
        <w:t xml:space="preserve"> 2024年      月      日</w:t>
      </w:r>
    </w:p>
    <w:p>
      <w:pPr>
        <w:spacing w:line="300" w:lineRule="auto"/>
        <w:jc w:val="center"/>
        <w:rPr>
          <w:rFonts w:hint="eastAsia" w:ascii="宋体" w:hAnsi="宋体" w:cs="宋体"/>
          <w:b/>
          <w:sz w:val="24"/>
          <w:szCs w:val="24"/>
        </w:rPr>
      </w:pPr>
      <w:r>
        <w:rPr>
          <w:rFonts w:hint="eastAsia" w:ascii="方正小标宋简体" w:hAnsi="方正小标宋简体" w:eastAsia="方正小标宋简体" w:cs="方正小标宋简体"/>
          <w:bCs/>
          <w:sz w:val="24"/>
          <w:szCs w:val="24"/>
          <w:u w:val="single"/>
        </w:rPr>
        <w:br w:type="page"/>
      </w:r>
      <w:r>
        <w:rPr>
          <w:rFonts w:hint="eastAsia" w:ascii="宋体" w:hAnsi="宋体" w:cs="宋体"/>
          <w:b/>
          <w:sz w:val="24"/>
          <w:szCs w:val="24"/>
        </w:rPr>
        <w:t>合同条款前附表</w:t>
      </w:r>
    </w:p>
    <w:tbl>
      <w:tblPr>
        <w:tblStyle w:val="2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b/>
                <w:szCs w:val="21"/>
              </w:rPr>
            </w:pPr>
            <w:r>
              <w:rPr>
                <w:rFonts w:hint="eastAsia" w:ascii="宋体" w:hAnsi="宋体" w:cs="宋体"/>
                <w:b/>
                <w:szCs w:val="21"/>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b/>
                <w:szCs w:val="21"/>
              </w:rPr>
            </w:pPr>
            <w:r>
              <w:rPr>
                <w:rFonts w:hint="eastAsia" w:ascii="宋体" w:hAnsi="宋体" w:cs="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t>国家税务总局福建省税务局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联系人</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联系人</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中型企业     </w:t>
            </w:r>
            <w:r>
              <w:rPr>
                <w:rFonts w:hint="eastAsia" w:ascii="宋体" w:hAnsi="宋体" w:cs="宋体"/>
                <w:szCs w:val="21"/>
              </w:rPr>
              <w:sym w:font="Wingdings 2" w:char="00A3"/>
            </w:r>
            <w:r>
              <w:rPr>
                <w:rFonts w:hint="eastAsia" w:ascii="宋体" w:hAnsi="宋体" w:cs="宋体"/>
                <w:szCs w:val="21"/>
              </w:rPr>
              <w:t xml:space="preserve"> 小型企业            </w:t>
            </w:r>
            <w:r>
              <w:rPr>
                <w:rFonts w:hint="eastAsia" w:ascii="宋体" w:hAnsi="宋体" w:cs="宋体"/>
                <w:szCs w:val="21"/>
              </w:rPr>
              <w:sym w:font="Wingdings 2" w:char="00A3"/>
            </w:r>
            <w:r>
              <w:rPr>
                <w:rFonts w:hint="eastAsia" w:ascii="宋体" w:hAnsi="宋体" w:cs="宋体"/>
                <w:szCs w:val="21"/>
              </w:rPr>
              <w:t xml:space="preserve"> 微型企业    </w:t>
            </w:r>
          </w:p>
          <w:p>
            <w:pPr>
              <w:tabs>
                <w:tab w:val="left" w:pos="700"/>
              </w:tabs>
              <w:adjustRightInd w:val="0"/>
              <w:snapToGrid w:val="0"/>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监狱企业     </w:t>
            </w:r>
            <w:r>
              <w:rPr>
                <w:rFonts w:hint="eastAsia" w:ascii="宋体" w:hAnsi="宋体" w:cs="宋体"/>
                <w:szCs w:val="21"/>
              </w:rPr>
              <w:sym w:font="Wingdings 2" w:char="00A3"/>
            </w:r>
            <w:r>
              <w:rPr>
                <w:rFonts w:hint="eastAsia" w:ascii="宋体" w:hAnsi="宋体" w:cs="宋体"/>
                <w:szCs w:val="21"/>
              </w:rPr>
              <w:t xml:space="preserve"> 残疾人福利性单位    </w:t>
            </w:r>
            <w:r>
              <w:rPr>
                <w:rFonts w:hint="eastAsia" w:ascii="宋体" w:hAnsi="宋体" w:cs="宋体"/>
                <w:szCs w:val="21"/>
              </w:rPr>
              <w:sym w:font="Wingdings 2" w:char="00A3"/>
            </w:r>
            <w:r>
              <w:rPr>
                <w:rFonts w:hint="eastAsia" w:ascii="宋体" w:hAnsi="宋体" w:cs="宋体"/>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szCs w:val="21"/>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传真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cs="宋体"/>
                <w:szCs w:val="21"/>
              </w:rPr>
            </w:pPr>
            <w:r>
              <w:rPr>
                <w:rFonts w:hint="eastAsia" w:ascii="宋体" w:hAnsi="宋体" w:cs="宋体"/>
                <w:szCs w:val="21"/>
              </w:rPr>
              <w:t>概述服务内容，详见招标文件采购需求。</w:t>
            </w: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p>
            <w:pPr>
              <w:tabs>
                <w:tab w:val="left" w:pos="700"/>
              </w:tabs>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hint="eastAsia" w:ascii="宋体" w:hAnsi="宋体" w:cs="宋体"/>
                <w:szCs w:val="21"/>
              </w:rPr>
            </w:pPr>
            <w:r>
              <w:rPr>
                <w:rFonts w:hint="eastAsia" w:ascii="宋体" w:hAnsi="宋体" w:cs="宋体"/>
                <w:szCs w:val="21"/>
              </w:rPr>
              <w:t>合同以人民币结算，付款方式：</w:t>
            </w:r>
          </w:p>
          <w:p>
            <w:pPr>
              <w:spacing w:line="400" w:lineRule="exact"/>
              <w:ind w:firstLine="315" w:firstLineChars="15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本项目不要求提供履约保证金。</w:t>
            </w:r>
          </w:p>
          <w:p>
            <w:pPr>
              <w:tabs>
                <w:tab w:val="left" w:pos="700"/>
              </w:tabs>
              <w:adjustRightInd w:val="0"/>
              <w:snapToGrid w:val="0"/>
              <w:jc w:val="left"/>
              <w:rPr>
                <w:rFonts w:hint="eastAsia" w:ascii="宋体" w:hAnsi="宋体" w:cs="宋体"/>
                <w:szCs w:val="21"/>
              </w:rPr>
            </w:pPr>
            <w:r>
              <w:rPr>
                <w:rFonts w:hint="eastAsia" w:ascii="宋体" w:hAnsi="宋体" w:cs="宋体"/>
                <w:szCs w:val="21"/>
              </w:rPr>
              <w:t>□本项目要求提供履约保证金。履约保证金为合同总金额的</w:t>
            </w:r>
            <w:r>
              <w:rPr>
                <w:rFonts w:hint="eastAsia" w:ascii="宋体" w:hAnsi="宋体" w:cs="宋体"/>
                <w:szCs w:val="21"/>
                <w:u w:val="single"/>
              </w:rPr>
              <w:t xml:space="preserve">   </w:t>
            </w:r>
            <w:r>
              <w:rPr>
                <w:rFonts w:hint="eastAsia" w:ascii="宋体" w:hAnsi="宋体" w:cs="宋体"/>
                <w:szCs w:val="21"/>
              </w:rPr>
              <w:t>%，即人民币</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），乙方应在合同签订之日起 30 日内提交甲方。提交方式为银行电汇、金融机构或担保机构出具的保函。在合同履行期满，扣除应扣除的款项（如有）且双方无争议后，无息返还。</w:t>
            </w:r>
          </w:p>
          <w:p>
            <w:pPr>
              <w:tabs>
                <w:tab w:val="left" w:pos="700"/>
              </w:tabs>
              <w:adjustRightInd w:val="0"/>
              <w:snapToGrid w:val="0"/>
              <w:ind w:firstLine="420" w:firstLineChars="200"/>
              <w:jc w:val="left"/>
              <w:rPr>
                <w:rFonts w:hint="eastAsia" w:ascii="宋体" w:hAnsi="宋体" w:cs="宋体"/>
                <w:szCs w:val="21"/>
              </w:rPr>
            </w:pPr>
            <w:r>
              <w:rPr>
                <w:rFonts w:hint="eastAsia" w:ascii="宋体" w:hAnsi="宋体" w:cs="宋体"/>
                <w:szCs w:val="21"/>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ind w:firstLine="420" w:firstLineChars="200"/>
              <w:jc w:val="left"/>
              <w:rPr>
                <w:rFonts w:hint="eastAsia" w:ascii="宋体" w:hAnsi="宋体" w:cs="宋体"/>
                <w:szCs w:val="21"/>
              </w:rPr>
            </w:pPr>
            <w:r>
              <w:rPr>
                <w:rFonts w:hint="eastAsia" w:ascii="宋体" w:hAnsi="宋体" w:cs="宋体"/>
                <w:szCs w:val="21"/>
              </w:rPr>
              <w:t>满足履约保证金返还条件的，甲方在收到返还相关信息等合同约定资料后，进行核实。对核实结果无异议的，自完成核实之日起30日内，以</w:t>
            </w:r>
            <w:r>
              <w:rPr>
                <w:rFonts w:hint="eastAsia" w:ascii="宋体" w:hAnsi="宋体" w:cs="宋体"/>
                <w:szCs w:val="21"/>
                <w:u w:val="single"/>
              </w:rPr>
              <w:t xml:space="preserve">      </w:t>
            </w:r>
            <w:r>
              <w:rPr>
                <w:rFonts w:hint="eastAsia" w:ascii="宋体" w:hAnsi="宋体" w:cs="宋体"/>
                <w:szCs w:val="21"/>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服务期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t>服务期为合同生效之日起至维保期届满。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t>福州市鼓楼区铜盘路36号。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cs="宋体"/>
                <w:szCs w:val="21"/>
              </w:rPr>
            </w:pPr>
            <w:r>
              <w:rPr>
                <w:rFonts w:hint="eastAsia" w:ascii="宋体" w:hAnsi="宋体" w:cs="宋体"/>
                <w:szCs w:val="21"/>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cs="宋体"/>
                <w:szCs w:val="21"/>
              </w:rPr>
            </w:pPr>
            <w:r>
              <w:rPr>
                <w:rFonts w:hint="eastAsia" w:ascii="宋体" w:hAnsi="宋体" w:cs="宋体"/>
                <w:szCs w:val="21"/>
              </w:rPr>
              <w:t>甲乙双方应首先通过友好协商解决在执行本合同中所发生的或与本合同有关的一切争端。如从协商开始</w:t>
            </w:r>
            <w:r>
              <w:rPr>
                <w:rFonts w:hint="eastAsia" w:ascii="宋体" w:hAnsi="宋体" w:cs="宋体"/>
                <w:szCs w:val="21"/>
                <w:u w:val="single"/>
              </w:rPr>
              <w:t xml:space="preserve">   </w:t>
            </w:r>
            <w:r>
              <w:rPr>
                <w:rFonts w:hint="eastAsia" w:ascii="宋体" w:hAnsi="宋体" w:cs="宋体"/>
                <w:szCs w:val="21"/>
              </w:rPr>
              <w:t>天内仍不能解决，可以选择以下途径之一解决纠纷：</w:t>
            </w:r>
          </w:p>
          <w:p>
            <w:pPr>
              <w:tabs>
                <w:tab w:val="left" w:pos="700"/>
              </w:tabs>
              <w:adjustRightInd w:val="0"/>
              <w:snapToGrid w:val="0"/>
              <w:rPr>
                <w:rFonts w:hint="eastAsia" w:ascii="宋体" w:hAnsi="宋体" w:cs="宋体"/>
                <w:szCs w:val="21"/>
              </w:rPr>
            </w:pPr>
            <w:r>
              <w:rPr>
                <w:rFonts w:hint="eastAsia" w:ascii="宋体" w:hAnsi="宋体" w:cs="宋体"/>
                <w:szCs w:val="21"/>
              </w:rPr>
              <w:t>□向甲方所在地仲裁委员会或</w:t>
            </w:r>
            <w:r>
              <w:rPr>
                <w:rFonts w:hint="eastAsia" w:ascii="宋体" w:hAnsi="宋体" w:cs="宋体"/>
                <w:szCs w:val="21"/>
                <w:u w:val="single"/>
              </w:rPr>
              <w:t xml:space="preserve">        </w:t>
            </w:r>
            <w:r>
              <w:rPr>
                <w:rFonts w:hint="eastAsia" w:ascii="宋体" w:hAnsi="宋体" w:cs="宋体"/>
                <w:szCs w:val="21"/>
              </w:rPr>
              <w:t>仲裁委员会申请仲裁</w:t>
            </w:r>
          </w:p>
          <w:p>
            <w:pPr>
              <w:tabs>
                <w:tab w:val="left" w:pos="700"/>
              </w:tabs>
              <w:adjustRightInd w:val="0"/>
              <w:snapToGrid w:val="0"/>
              <w:rPr>
                <w:rFonts w:hint="eastAsia" w:ascii="宋体" w:hAnsi="宋体" w:cs="宋体"/>
                <w:szCs w:val="21"/>
              </w:rPr>
            </w:pPr>
            <w:r>
              <w:rPr>
                <w:rFonts w:hint="eastAsia" w:ascii="宋体" w:hAnsi="宋体" w:cs="宋体"/>
                <w:szCs w:val="21"/>
              </w:rPr>
              <w:t>□向甲方所在地人民法院或</w:t>
            </w:r>
            <w:r>
              <w:rPr>
                <w:rFonts w:hint="eastAsia" w:ascii="宋体" w:hAnsi="宋体" w:cs="宋体"/>
                <w:szCs w:val="21"/>
                <w:u w:val="single"/>
              </w:rPr>
              <w:t xml:space="preserve">        </w:t>
            </w:r>
            <w:r>
              <w:rPr>
                <w:rFonts w:hint="eastAsia" w:ascii="宋体" w:hAnsi="宋体" w:cs="宋体"/>
                <w:szCs w:val="21"/>
              </w:rPr>
              <w:t>人民法院提起诉讼</w:t>
            </w:r>
          </w:p>
        </w:tc>
      </w:tr>
    </w:tbl>
    <w:p>
      <w:pPr>
        <w:tabs>
          <w:tab w:val="left" w:pos="700"/>
        </w:tabs>
        <w:topLinePunct/>
        <w:autoSpaceDE w:val="0"/>
        <w:autoSpaceDN w:val="0"/>
        <w:spacing w:line="460" w:lineRule="exact"/>
        <w:rPr>
          <w:rFonts w:hint="eastAsia" w:ascii="宋体" w:hAnsi="宋体" w:cs="宋体"/>
          <w:b/>
          <w:sz w:val="24"/>
        </w:rPr>
      </w:pPr>
      <w:r>
        <w:rPr>
          <w:rFonts w:hint="eastAsia" w:ascii="宋体" w:hAnsi="宋体" w:cs="宋体"/>
          <w:b/>
          <w:sz w:val="28"/>
        </w:rPr>
        <w:br w:type="page"/>
      </w:r>
    </w:p>
    <w:p>
      <w:pPr>
        <w:tabs>
          <w:tab w:val="left" w:pos="0"/>
        </w:tabs>
        <w:topLinePunct/>
        <w:autoSpaceDE w:val="0"/>
        <w:autoSpaceDN w:val="0"/>
        <w:spacing w:line="360" w:lineRule="auto"/>
        <w:jc w:val="center"/>
        <w:rPr>
          <w:rFonts w:hint="eastAsia" w:ascii="宋体" w:hAnsi="宋体" w:cs="宋体"/>
          <w:b/>
          <w:sz w:val="24"/>
        </w:rPr>
      </w:pPr>
      <w:r>
        <w:rPr>
          <w:rFonts w:hint="eastAsia" w:ascii="宋体" w:hAnsi="宋体" w:cs="宋体"/>
          <w:b/>
          <w:sz w:val="24"/>
        </w:rPr>
        <w:t xml:space="preserve">一   合  同 </w:t>
      </w:r>
    </w:p>
    <w:p>
      <w:pPr>
        <w:tabs>
          <w:tab w:val="left" w:pos="540"/>
        </w:tabs>
        <w:topLinePunct/>
        <w:autoSpaceDE w:val="0"/>
        <w:autoSpaceDN w:val="0"/>
        <w:spacing w:line="460" w:lineRule="exact"/>
        <w:rPr>
          <w:rFonts w:hint="eastAsia" w:ascii="宋体" w:hAnsi="宋体" w:cs="宋体"/>
          <w:b/>
          <w:sz w:val="24"/>
        </w:rPr>
      </w:pP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国家税务总局福建省税务局（以下简称“甲方”）通过</w:t>
      </w:r>
      <w:r>
        <w:rPr>
          <w:rFonts w:hint="eastAsia" w:ascii="宋体" w:hAnsi="宋体" w:cs="宋体"/>
          <w:szCs w:val="21"/>
          <w:u w:val="single"/>
        </w:rPr>
        <w:t xml:space="preserve"> 公开招标方</w:t>
      </w:r>
      <w:r>
        <w:rPr>
          <w:rFonts w:hint="eastAsia" w:ascii="宋体" w:hAnsi="宋体" w:cs="宋体"/>
          <w:szCs w:val="21"/>
        </w:rPr>
        <w:t>式采购，确定_ _____公司（以下简称“乙方”）为《</w:t>
      </w:r>
      <w:r>
        <w:rPr>
          <w:rFonts w:hint="eastAsia" w:ascii="宋体" w:hAnsi="宋体" w:cs="宋体"/>
          <w:szCs w:val="21"/>
          <w:u w:val="single"/>
        </w:rPr>
        <w:t xml:space="preserve"> </w:t>
      </w:r>
      <w:r>
        <w:rPr>
          <w:rFonts w:hint="eastAsia" w:ascii="宋体" w:hAnsi="宋体"/>
          <w:szCs w:val="21"/>
          <w:u w:val="single"/>
        </w:rPr>
        <w:t>福建税务2024年税费业务场景区块链基础平台应用推广项目</w:t>
      </w:r>
      <w:r>
        <w:rPr>
          <w:rFonts w:hint="eastAsia" w:ascii="宋体" w:hAnsi="宋体" w:cs="宋体"/>
          <w:szCs w:val="21"/>
        </w:rPr>
        <w:t>》中标（成交）供应商。甲乙双方同意按照该项目招标（采购）文件约定的内容，签署《</w:t>
      </w:r>
      <w:r>
        <w:rPr>
          <w:rFonts w:hint="eastAsia" w:ascii="宋体" w:hAnsi="宋体"/>
          <w:szCs w:val="21"/>
        </w:rPr>
        <w:t>福建税务2024年税费业务场景区块链基础平台应用推广项目</w:t>
      </w:r>
      <w:r>
        <w:rPr>
          <w:rFonts w:hint="eastAsia" w:ascii="宋体" w:hAnsi="宋体" w:cs="宋体"/>
          <w:szCs w:val="21"/>
        </w:rPr>
        <w:t>合同书》（合同编号：</w:t>
      </w:r>
      <w:r>
        <w:rPr>
          <w:rFonts w:hint="eastAsia" w:ascii="宋体" w:hAnsi="宋体" w:cs="宋体"/>
          <w:szCs w:val="21"/>
          <w:u w:val="single"/>
        </w:rPr>
        <w:t xml:space="preserve">      </w:t>
      </w:r>
      <w:r>
        <w:rPr>
          <w:rFonts w:hint="eastAsia" w:ascii="宋体" w:hAnsi="宋体" w:cs="宋体"/>
          <w:szCs w:val="21"/>
        </w:rPr>
        <w:t>，以下简称“合同”)。</w:t>
      </w:r>
    </w:p>
    <w:p>
      <w:pPr>
        <w:topLinePunct/>
        <w:autoSpaceDE w:val="0"/>
        <w:autoSpaceDN w:val="0"/>
        <w:snapToGrid w:val="0"/>
        <w:spacing w:line="360" w:lineRule="auto"/>
        <w:ind w:left="482"/>
        <w:rPr>
          <w:rFonts w:hint="eastAsia" w:ascii="宋体" w:hAnsi="宋体" w:cs="宋体"/>
          <w:b/>
          <w:szCs w:val="21"/>
        </w:rPr>
      </w:pPr>
      <w:r>
        <w:rPr>
          <w:rFonts w:hint="eastAsia" w:ascii="宋体" w:hAnsi="宋体" w:cs="宋体"/>
          <w:b/>
          <w:szCs w:val="21"/>
        </w:rPr>
        <w:t>1. 合同文件</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本合同所附下列文件是构成本合同不可分割的部分：</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（1）合同通用条款；</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（2）报价表（总报价表和分项报价表）；</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（3）招标（采购）文件；</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（4）投标（响应）文件。</w:t>
      </w:r>
    </w:p>
    <w:p>
      <w:pPr>
        <w:topLinePunct/>
        <w:autoSpaceDE w:val="0"/>
        <w:autoSpaceDN w:val="0"/>
        <w:snapToGrid w:val="0"/>
        <w:spacing w:line="360" w:lineRule="auto"/>
        <w:ind w:left="482"/>
        <w:rPr>
          <w:rFonts w:hint="eastAsia" w:ascii="宋体" w:hAnsi="宋体" w:cs="宋体"/>
          <w:b/>
          <w:szCs w:val="21"/>
        </w:rPr>
      </w:pPr>
      <w:r>
        <w:rPr>
          <w:rFonts w:hint="eastAsia" w:ascii="宋体" w:hAnsi="宋体" w:cs="宋体"/>
          <w:b/>
          <w:szCs w:val="21"/>
        </w:rPr>
        <w:t>2. 合同范围和条件</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本合同的范围和条件应与上述合同文件的规定相一致。</w:t>
      </w:r>
    </w:p>
    <w:p>
      <w:pPr>
        <w:tabs>
          <w:tab w:val="left" w:pos="700"/>
        </w:tabs>
        <w:topLinePunct/>
        <w:autoSpaceDE w:val="0"/>
        <w:autoSpaceDN w:val="0"/>
        <w:snapToGrid w:val="0"/>
        <w:spacing w:line="360" w:lineRule="auto"/>
        <w:ind w:firstLine="413" w:firstLineChars="196"/>
        <w:rPr>
          <w:rFonts w:hint="eastAsia" w:ascii="宋体" w:hAnsi="宋体" w:cs="宋体"/>
          <w:b/>
          <w:szCs w:val="21"/>
        </w:rPr>
      </w:pPr>
      <w:r>
        <w:rPr>
          <w:rFonts w:hint="eastAsia" w:ascii="宋体" w:hAnsi="宋体" w:cs="宋体"/>
          <w:b/>
          <w:szCs w:val="21"/>
        </w:rPr>
        <w:t>3. 合同金额</w:t>
      </w:r>
    </w:p>
    <w:p>
      <w:pPr>
        <w:tabs>
          <w:tab w:val="left" w:pos="700"/>
        </w:tabs>
        <w:topLinePunct/>
        <w:autoSpaceDE w:val="0"/>
        <w:autoSpaceDN w:val="0"/>
        <w:snapToGrid w:val="0"/>
        <w:spacing w:line="360" w:lineRule="auto"/>
        <w:ind w:firstLine="420" w:firstLineChars="200"/>
        <w:rPr>
          <w:rFonts w:hint="eastAsia" w:ascii="宋体" w:hAnsi="宋体" w:cs="宋体"/>
          <w:szCs w:val="21"/>
        </w:rPr>
      </w:pPr>
      <w:r>
        <w:rPr>
          <w:rFonts w:hint="eastAsia" w:ascii="宋体" w:hAnsi="宋体" w:cs="宋体"/>
          <w:szCs w:val="21"/>
        </w:rPr>
        <w:t>本合同总金额为人民币</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）。本项目以</w:t>
      </w:r>
      <w:r>
        <w:rPr>
          <w:rFonts w:hint="eastAsia" w:ascii="宋体" w:hAnsi="宋体" w:cs="宋体"/>
          <w:szCs w:val="21"/>
          <w:u w:val="single"/>
        </w:rPr>
        <w:t xml:space="preserve">   </w:t>
      </w:r>
      <w:r>
        <w:rPr>
          <w:rFonts w:hint="eastAsia" w:ascii="宋体" w:hAnsi="宋体" w:cs="宋体"/>
          <w:szCs w:val="21"/>
        </w:rPr>
        <w:t>个月为1个服务周期，每个服务周期合同金额为人民币</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w:t>
      </w:r>
    </w:p>
    <w:p>
      <w:pPr>
        <w:tabs>
          <w:tab w:val="left" w:pos="700"/>
        </w:tabs>
        <w:topLinePunct/>
        <w:autoSpaceDE w:val="0"/>
        <w:autoSpaceDN w:val="0"/>
        <w:snapToGrid w:val="0"/>
        <w:spacing w:line="360" w:lineRule="auto"/>
        <w:ind w:firstLine="422" w:firstLineChars="200"/>
        <w:rPr>
          <w:rFonts w:hint="eastAsia" w:ascii="宋体" w:hAnsi="宋体" w:cs="宋体"/>
          <w:b/>
          <w:szCs w:val="21"/>
        </w:rPr>
      </w:pPr>
      <w:r>
        <w:rPr>
          <w:rFonts w:hint="eastAsia" w:ascii="宋体" w:hAnsi="宋体" w:cs="宋体"/>
          <w:b/>
          <w:szCs w:val="21"/>
        </w:rPr>
        <w:t>4. 付款条件</w:t>
      </w:r>
    </w:p>
    <w:p>
      <w:pPr>
        <w:topLinePunct/>
        <w:autoSpaceDE w:val="0"/>
        <w:autoSpaceDN w:val="0"/>
        <w:snapToGrid w:val="0"/>
        <w:spacing w:line="360" w:lineRule="auto"/>
        <w:ind w:left="482"/>
        <w:rPr>
          <w:rFonts w:hint="eastAsia" w:ascii="宋体" w:hAnsi="宋体" w:cs="宋体"/>
          <w:b/>
          <w:szCs w:val="21"/>
        </w:rPr>
      </w:pPr>
    </w:p>
    <w:p>
      <w:pPr>
        <w:topLinePunct/>
        <w:autoSpaceDE w:val="0"/>
        <w:autoSpaceDN w:val="0"/>
        <w:snapToGrid w:val="0"/>
        <w:spacing w:line="360" w:lineRule="auto"/>
        <w:ind w:left="482"/>
        <w:rPr>
          <w:rFonts w:hint="eastAsia" w:ascii="宋体" w:hAnsi="宋体" w:cs="宋体"/>
          <w:b/>
          <w:szCs w:val="21"/>
        </w:rPr>
      </w:pPr>
    </w:p>
    <w:p>
      <w:pPr>
        <w:topLinePunct/>
        <w:autoSpaceDE w:val="0"/>
        <w:autoSpaceDN w:val="0"/>
        <w:snapToGrid w:val="0"/>
        <w:spacing w:line="360" w:lineRule="auto"/>
        <w:ind w:left="482"/>
        <w:rPr>
          <w:rFonts w:hint="eastAsia" w:ascii="宋体" w:hAnsi="宋体" w:cs="宋体"/>
          <w:b/>
          <w:szCs w:val="21"/>
        </w:rPr>
      </w:pPr>
      <w:r>
        <w:rPr>
          <w:rFonts w:hint="eastAsia" w:ascii="宋体" w:hAnsi="宋体" w:cs="宋体"/>
          <w:b/>
          <w:szCs w:val="21"/>
        </w:rPr>
        <w:t>5. 合同签订及生效</w:t>
      </w:r>
    </w:p>
    <w:p>
      <w:pPr>
        <w:pStyle w:val="32"/>
        <w:tabs>
          <w:tab w:val="left" w:pos="840"/>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份，由甲乙双方法定代表人或被授权人签字并盖章后生效。</w:t>
      </w:r>
    </w:p>
    <w:p>
      <w:pPr>
        <w:pStyle w:val="32"/>
        <w:tabs>
          <w:tab w:val="left" w:pos="840"/>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乙方由法定代表人签订合同的，应提供法定代表人身份证复印件；乙方由被授权人签订合同的，应提供授权委托书和法定代表人及被授权人身份证复印件。</w:t>
      </w:r>
    </w:p>
    <w:p>
      <w:pPr>
        <w:pStyle w:val="32"/>
        <w:tabs>
          <w:tab w:val="left" w:pos="840"/>
        </w:tabs>
        <w:snapToGrid w:val="0"/>
        <w:spacing w:line="360" w:lineRule="auto"/>
        <w:ind w:firstLine="420" w:firstLineChars="200"/>
        <w:rPr>
          <w:rFonts w:hint="eastAsia" w:ascii="宋体" w:hAnsi="宋体" w:eastAsia="宋体" w:cs="宋体"/>
          <w:sz w:val="21"/>
          <w:szCs w:val="21"/>
        </w:rPr>
      </w:pPr>
    </w:p>
    <w:p>
      <w:pPr>
        <w:tabs>
          <w:tab w:val="left" w:pos="700"/>
        </w:tabs>
        <w:topLinePunct/>
        <w:autoSpaceDE w:val="0"/>
        <w:autoSpaceDN w:val="0"/>
        <w:spacing w:line="360" w:lineRule="auto"/>
        <w:rPr>
          <w:rFonts w:hint="eastAsia" w:ascii="宋体" w:hAnsi="宋体" w:cs="宋体"/>
          <w:szCs w:val="21"/>
        </w:rPr>
      </w:pPr>
    </w:p>
    <w:p>
      <w:pPr>
        <w:tabs>
          <w:tab w:val="left" w:pos="700"/>
        </w:tabs>
        <w:topLinePunct/>
        <w:autoSpaceDE w:val="0"/>
        <w:autoSpaceDN w:val="0"/>
        <w:spacing w:line="360" w:lineRule="auto"/>
        <w:ind w:left="360"/>
        <w:rPr>
          <w:rFonts w:hint="eastAsia" w:ascii="宋体" w:hAnsi="宋体" w:cs="宋体"/>
          <w:szCs w:val="21"/>
        </w:rPr>
      </w:pPr>
      <w:r>
        <w:rPr>
          <w:rFonts w:hint="eastAsia" w:ascii="宋体" w:hAnsi="宋体" w:cs="宋体"/>
          <w:szCs w:val="21"/>
        </w:rPr>
        <w:t>甲方：国家税务总局福建省税务局          乙方：</w:t>
      </w:r>
    </w:p>
    <w:p>
      <w:pPr>
        <w:tabs>
          <w:tab w:val="left" w:pos="700"/>
        </w:tabs>
        <w:topLinePunct/>
        <w:autoSpaceDE w:val="0"/>
        <w:autoSpaceDN w:val="0"/>
        <w:spacing w:line="360" w:lineRule="auto"/>
        <w:ind w:left="360"/>
        <w:rPr>
          <w:rFonts w:hint="eastAsia" w:ascii="宋体" w:hAnsi="宋体" w:cs="宋体"/>
          <w:szCs w:val="21"/>
        </w:rPr>
      </w:pPr>
      <w:r>
        <w:rPr>
          <w:rFonts w:hint="eastAsia" w:ascii="宋体" w:hAnsi="宋体" w:cs="宋体"/>
          <w:szCs w:val="21"/>
        </w:rPr>
        <w:t>签字：                                 签字：</w:t>
      </w:r>
    </w:p>
    <w:p>
      <w:pPr>
        <w:tabs>
          <w:tab w:val="left" w:pos="700"/>
        </w:tabs>
        <w:topLinePunct/>
        <w:autoSpaceDE w:val="0"/>
        <w:autoSpaceDN w:val="0"/>
        <w:spacing w:line="360" w:lineRule="auto"/>
        <w:ind w:left="360"/>
        <w:rPr>
          <w:rFonts w:hint="eastAsia" w:ascii="宋体" w:hAnsi="宋体" w:cs="宋体"/>
          <w:szCs w:val="21"/>
        </w:rPr>
      </w:pPr>
      <w:r>
        <w:rPr>
          <w:rFonts w:hint="eastAsia" w:ascii="宋体" w:hAnsi="宋体" w:cs="宋体"/>
          <w:szCs w:val="21"/>
        </w:rPr>
        <w:t xml:space="preserve">盖章：                                 盖章： </w:t>
      </w:r>
    </w:p>
    <w:p>
      <w:pPr>
        <w:tabs>
          <w:tab w:val="left" w:pos="700"/>
        </w:tabs>
        <w:topLinePunct/>
        <w:autoSpaceDE w:val="0"/>
        <w:autoSpaceDN w:val="0"/>
        <w:spacing w:line="360" w:lineRule="auto"/>
        <w:ind w:left="360"/>
        <w:rPr>
          <w:rFonts w:hint="eastAsia" w:ascii="宋体" w:hAnsi="宋体" w:cs="宋体"/>
          <w:szCs w:val="21"/>
        </w:rPr>
      </w:pPr>
      <w:r>
        <w:rPr>
          <w:rFonts w:hint="eastAsia" w:ascii="宋体" w:hAnsi="宋体" w:cs="宋体"/>
          <w:szCs w:val="21"/>
        </w:rPr>
        <w:t>日期：    年    月    日               日期：     年   月   日</w:t>
      </w:r>
    </w:p>
    <w:p>
      <w:pPr>
        <w:topLinePunct/>
        <w:autoSpaceDE w:val="0"/>
        <w:autoSpaceDN w:val="0"/>
        <w:spacing w:line="360" w:lineRule="auto"/>
        <w:rPr>
          <w:rFonts w:ascii="Times New Roman" w:hAnsi="Times New Roman"/>
          <w:b/>
          <w:szCs w:val="21"/>
        </w:rPr>
      </w:pPr>
    </w:p>
    <w:p>
      <w:pPr>
        <w:topLinePunct/>
        <w:autoSpaceDE w:val="0"/>
        <w:autoSpaceDN w:val="0"/>
        <w:spacing w:line="360" w:lineRule="auto"/>
        <w:jc w:val="center"/>
        <w:rPr>
          <w:rFonts w:hint="eastAsia" w:ascii="宋体" w:hAnsi="宋体" w:cs="宋体"/>
          <w:b/>
          <w:sz w:val="24"/>
        </w:rPr>
      </w:pPr>
      <w:r>
        <w:rPr>
          <w:rFonts w:ascii="宋体" w:hAnsi="宋体" w:cs="宋体"/>
          <w:b/>
          <w:sz w:val="24"/>
        </w:rPr>
        <w:br w:type="page"/>
      </w:r>
      <w:r>
        <w:rPr>
          <w:rFonts w:hint="eastAsia" w:ascii="宋体" w:hAnsi="宋体" w:cs="宋体"/>
          <w:b/>
          <w:sz w:val="24"/>
        </w:rPr>
        <w:t>二   合 同 通 用 条 款</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 定义</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本合同下列术语应解释为：</w:t>
      </w:r>
    </w:p>
    <w:p>
      <w:pPr>
        <w:tabs>
          <w:tab w:val="left" w:pos="700"/>
        </w:tabs>
        <w:spacing w:line="360" w:lineRule="auto"/>
        <w:ind w:firstLine="420" w:firstLineChars="200"/>
        <w:rPr>
          <w:rFonts w:ascii="Times New Roman" w:hAnsi="Times New Roman"/>
          <w:szCs w:val="21"/>
        </w:rPr>
      </w:pPr>
      <w:r>
        <w:rPr>
          <w:rFonts w:ascii="Times New Roman" w:hAnsi="Times New Roman"/>
          <w:szCs w:val="21"/>
        </w:rPr>
        <w:t>1.1“甲方”是指国家税务总局</w:t>
      </w:r>
      <w:r>
        <w:rPr>
          <w:rFonts w:hint="eastAsia" w:ascii="Times New Roman" w:hAnsi="Times New Roman"/>
          <w:szCs w:val="21"/>
        </w:rPr>
        <w:t>国家税务总局福建省税务局</w:t>
      </w:r>
      <w:r>
        <w:rPr>
          <w:rFonts w:ascii="Times New Roman" w:hAnsi="Times New Roman"/>
          <w:szCs w:val="21"/>
        </w:rPr>
        <w:t>。</w:t>
      </w:r>
    </w:p>
    <w:p>
      <w:pPr>
        <w:tabs>
          <w:tab w:val="left" w:pos="700"/>
        </w:tabs>
        <w:spacing w:line="360" w:lineRule="auto"/>
        <w:ind w:firstLine="420" w:firstLineChars="200"/>
        <w:rPr>
          <w:rFonts w:ascii="Times New Roman" w:hAnsi="Times New Roman"/>
          <w:szCs w:val="21"/>
        </w:rPr>
      </w:pPr>
      <w:r>
        <w:rPr>
          <w:rFonts w:ascii="Times New Roman" w:hAnsi="Times New Roman"/>
          <w:szCs w:val="21"/>
        </w:rPr>
        <w:t>1.1.1“甲方采购部门”见“合同条款前附表”第5项“甲方采购部门”。</w:t>
      </w:r>
    </w:p>
    <w:p>
      <w:pPr>
        <w:tabs>
          <w:tab w:val="left" w:pos="700"/>
        </w:tabs>
        <w:spacing w:line="360" w:lineRule="auto"/>
        <w:ind w:firstLine="420" w:firstLineChars="200"/>
        <w:rPr>
          <w:rFonts w:ascii="Times New Roman" w:hAnsi="Times New Roman"/>
          <w:szCs w:val="21"/>
        </w:rPr>
      </w:pPr>
      <w:r>
        <w:rPr>
          <w:rFonts w:ascii="Times New Roman" w:hAnsi="Times New Roman"/>
          <w:szCs w:val="21"/>
        </w:rPr>
        <w:t>1.1.2“甲方需求部门”见“合同条款前附表”第5项“甲方需求部门”。</w:t>
      </w:r>
    </w:p>
    <w:p>
      <w:pPr>
        <w:tabs>
          <w:tab w:val="left" w:pos="700"/>
        </w:tabs>
        <w:spacing w:line="360" w:lineRule="auto"/>
        <w:ind w:firstLine="420" w:firstLineChars="200"/>
        <w:rPr>
          <w:rFonts w:ascii="Times New Roman" w:hAnsi="Times New Roman"/>
          <w:szCs w:val="21"/>
        </w:rPr>
      </w:pPr>
      <w:r>
        <w:rPr>
          <w:rFonts w:ascii="Times New Roman" w:hAnsi="Times New Roman"/>
          <w:szCs w:val="21"/>
        </w:rPr>
        <w:t>1.2“乙方”见“合同条款前附表”第6项“乙方名称”。</w:t>
      </w:r>
    </w:p>
    <w:p>
      <w:pPr>
        <w:tabs>
          <w:tab w:val="left" w:pos="700"/>
        </w:tabs>
        <w:spacing w:line="360" w:lineRule="auto"/>
        <w:ind w:firstLine="420" w:firstLineChars="200"/>
        <w:rPr>
          <w:rFonts w:ascii="Times New Roman" w:hAnsi="Times New Roman"/>
          <w:szCs w:val="21"/>
        </w:rPr>
      </w:pPr>
      <w:r>
        <w:rPr>
          <w:rFonts w:ascii="Times New Roman" w:hAnsi="Times New Roman"/>
          <w:szCs w:val="21"/>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1.4 “天”除非特别指出，“天”均为自然天。</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2. 标准</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szCs w:val="21"/>
        </w:rPr>
      </w:pPr>
      <w:r>
        <w:rPr>
          <w:rFonts w:ascii="Times New Roman" w:hAnsi="Times New Roman"/>
          <w:szCs w:val="21"/>
        </w:rPr>
        <w:t>2.2 除非技术要求中另有规定，计量单位均采用中华人民共和国法定计量单位。</w:t>
      </w:r>
    </w:p>
    <w:p>
      <w:pPr>
        <w:spacing w:line="360" w:lineRule="auto"/>
        <w:ind w:firstLine="422" w:firstLineChars="200"/>
        <w:rPr>
          <w:rFonts w:ascii="Times New Roman" w:hAnsi="Times New Roman"/>
          <w:b/>
          <w:szCs w:val="21"/>
        </w:rPr>
      </w:pPr>
      <w:r>
        <w:rPr>
          <w:rFonts w:ascii="Times New Roman" w:hAnsi="Times New Roman"/>
          <w:b/>
          <w:szCs w:val="21"/>
        </w:rPr>
        <w:t>3. 服务</w:t>
      </w:r>
    </w:p>
    <w:p>
      <w:pPr>
        <w:tabs>
          <w:tab w:val="left" w:pos="700"/>
        </w:tabs>
        <w:spacing w:line="360" w:lineRule="auto"/>
        <w:ind w:firstLine="420" w:firstLineChars="200"/>
        <w:rPr>
          <w:rFonts w:ascii="Times New Roman" w:hAnsi="Times New Roman"/>
          <w:b/>
          <w:szCs w:val="21"/>
        </w:rPr>
      </w:pPr>
      <w:r>
        <w:rPr>
          <w:rFonts w:ascii="Times New Roman" w:hAnsi="Times New Roman"/>
          <w:bCs/>
          <w:szCs w:val="21"/>
        </w:rPr>
        <w:t>3.1 本项目的“服务”见“合同条款前附表”第8项“服务内容”。</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Times New Roman" w:hAnsi="Times New Roman"/>
          <w:szCs w:val="21"/>
        </w:rPr>
      </w:pPr>
      <w:r>
        <w:rPr>
          <w:rFonts w:ascii="Times New Roman" w:hAnsi="Times New Roman"/>
          <w:szCs w:val="21"/>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szCs w:val="21"/>
        </w:rPr>
      </w:pPr>
      <w:r>
        <w:rPr>
          <w:rFonts w:ascii="Times New Roman" w:hAnsi="Times New Roman"/>
          <w:szCs w:val="21"/>
        </w:rPr>
        <w:t>3.5 除合同条款另行规定外，伴随服务的费用应含在合同价中，不单独进行支付。</w:t>
      </w:r>
    </w:p>
    <w:p>
      <w:pPr>
        <w:tabs>
          <w:tab w:val="left" w:pos="0"/>
          <w:tab w:val="left" w:pos="540"/>
        </w:tabs>
        <w:spacing w:line="360" w:lineRule="auto"/>
        <w:ind w:firstLine="422" w:firstLineChars="200"/>
        <w:rPr>
          <w:rFonts w:ascii="Times New Roman" w:hAnsi="Times New Roman"/>
          <w:b/>
          <w:szCs w:val="21"/>
        </w:rPr>
      </w:pPr>
      <w:r>
        <w:rPr>
          <w:rFonts w:ascii="Times New Roman" w:hAnsi="Times New Roman"/>
          <w:b/>
          <w:szCs w:val="21"/>
        </w:rPr>
        <w:t>4. 知识产权</w:t>
      </w:r>
    </w:p>
    <w:p>
      <w:pPr>
        <w:spacing w:line="360" w:lineRule="auto"/>
        <w:ind w:firstLine="420" w:firstLineChars="200"/>
        <w:rPr>
          <w:rFonts w:ascii="Times New Roman" w:hAnsi="Times New Roman"/>
          <w:szCs w:val="21"/>
        </w:rPr>
      </w:pPr>
      <w:r>
        <w:rPr>
          <w:rFonts w:ascii="Times New Roman" w:hAnsi="Times New Roman"/>
          <w:szCs w:val="21"/>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2" w:firstLineChars="200"/>
        <w:rPr>
          <w:rFonts w:ascii="Times New Roman" w:hAnsi="Times New Roman"/>
          <w:b/>
          <w:szCs w:val="21"/>
        </w:rPr>
      </w:pPr>
      <w:r>
        <w:rPr>
          <w:rFonts w:ascii="Times New Roman" w:hAnsi="Times New Roman"/>
          <w:b/>
          <w:szCs w:val="21"/>
        </w:rPr>
        <w:t>5. 保密条款</w:t>
      </w:r>
    </w:p>
    <w:p>
      <w:pPr>
        <w:spacing w:line="360" w:lineRule="auto"/>
        <w:ind w:firstLine="420" w:firstLineChars="200"/>
        <w:rPr>
          <w:rFonts w:ascii="Times New Roman" w:hAnsi="Times New Roman"/>
          <w:szCs w:val="21"/>
        </w:rPr>
      </w:pPr>
      <w:r>
        <w:rPr>
          <w:rFonts w:ascii="Times New Roman" w:hAnsi="Times New Roman"/>
          <w:szCs w:val="21"/>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szCs w:val="21"/>
        </w:rPr>
      </w:pPr>
      <w:r>
        <w:rPr>
          <w:rFonts w:ascii="Times New Roman" w:hAnsi="Times New Roman"/>
          <w:szCs w:val="21"/>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szCs w:val="21"/>
        </w:rPr>
      </w:pPr>
      <w:r>
        <w:rPr>
          <w:rFonts w:ascii="Times New Roman" w:hAnsi="Times New Roman"/>
          <w:szCs w:val="21"/>
        </w:rPr>
        <w:t>（1） 应以审慎态度避免泄漏、公开或传播甲方的信息；</w:t>
      </w:r>
    </w:p>
    <w:p>
      <w:pPr>
        <w:spacing w:line="360" w:lineRule="auto"/>
        <w:ind w:firstLine="420" w:firstLineChars="200"/>
        <w:rPr>
          <w:rFonts w:ascii="Times New Roman" w:hAnsi="Times New Roman"/>
          <w:szCs w:val="21"/>
        </w:rPr>
      </w:pPr>
      <w:r>
        <w:rPr>
          <w:rFonts w:ascii="Times New Roman" w:hAnsi="Times New Roman"/>
          <w:szCs w:val="21"/>
        </w:rPr>
        <w:t>（2） 在开发过程中对数据的处理方式应事先得到甲方的许可；</w:t>
      </w:r>
    </w:p>
    <w:p>
      <w:pPr>
        <w:spacing w:line="360" w:lineRule="auto"/>
        <w:ind w:firstLine="420" w:firstLineChars="200"/>
        <w:rPr>
          <w:rFonts w:ascii="Times New Roman" w:hAnsi="Times New Roman"/>
          <w:szCs w:val="21"/>
        </w:rPr>
      </w:pPr>
      <w:r>
        <w:rPr>
          <w:rFonts w:ascii="Times New Roman" w:hAnsi="Times New Roman"/>
          <w:szCs w:val="21"/>
        </w:rPr>
        <w:t>（3） 未经甲方书面许可，不得对有关信息进行修改、补充、复制；</w:t>
      </w:r>
    </w:p>
    <w:p>
      <w:pPr>
        <w:spacing w:line="360" w:lineRule="auto"/>
        <w:ind w:firstLine="420" w:firstLineChars="200"/>
        <w:rPr>
          <w:rFonts w:ascii="Times New Roman" w:hAnsi="Times New Roman"/>
          <w:szCs w:val="21"/>
        </w:rPr>
      </w:pPr>
      <w:r>
        <w:rPr>
          <w:rFonts w:ascii="Times New Roman" w:hAnsi="Times New Roman"/>
          <w:szCs w:val="21"/>
        </w:rPr>
        <w:t>（4） 未经甲方书面许可，不得将信息以任何方式（如E-mail）携带出甲方场所；</w:t>
      </w:r>
    </w:p>
    <w:p>
      <w:pPr>
        <w:spacing w:line="360" w:lineRule="auto"/>
        <w:ind w:firstLine="420" w:firstLineChars="200"/>
        <w:rPr>
          <w:rFonts w:ascii="Times New Roman" w:hAnsi="Times New Roman"/>
          <w:szCs w:val="21"/>
        </w:rPr>
      </w:pPr>
      <w:r>
        <w:rPr>
          <w:rFonts w:ascii="Times New Roman" w:hAnsi="Times New Roman"/>
          <w:szCs w:val="21"/>
        </w:rPr>
        <w:t xml:space="preserve">（5） 未经甲方书面许可，不得将信息透露给任何其他人； </w:t>
      </w:r>
    </w:p>
    <w:p>
      <w:pPr>
        <w:spacing w:line="360" w:lineRule="auto"/>
        <w:ind w:firstLine="420" w:firstLineChars="200"/>
        <w:rPr>
          <w:rFonts w:ascii="Times New Roman" w:hAnsi="Times New Roman"/>
          <w:szCs w:val="21"/>
        </w:rPr>
      </w:pPr>
      <w:r>
        <w:rPr>
          <w:rFonts w:ascii="Times New Roman" w:hAnsi="Times New Roman"/>
          <w:szCs w:val="21"/>
        </w:rPr>
        <w:t>（6） 严禁在提交的软件产品中设置远程维护接口和后门程序；</w:t>
      </w:r>
    </w:p>
    <w:p>
      <w:pPr>
        <w:spacing w:line="360" w:lineRule="auto"/>
        <w:ind w:firstLine="420" w:firstLineChars="200"/>
        <w:rPr>
          <w:rFonts w:ascii="Times New Roman" w:hAnsi="Times New Roman"/>
          <w:szCs w:val="21"/>
        </w:rPr>
      </w:pPr>
      <w:r>
        <w:rPr>
          <w:rFonts w:ascii="Times New Roman" w:hAnsi="Times New Roman"/>
          <w:szCs w:val="21"/>
        </w:rPr>
        <w:t>（7） 不得进行系统软硬件设备的远程维护；</w:t>
      </w:r>
    </w:p>
    <w:p>
      <w:pPr>
        <w:spacing w:line="360" w:lineRule="auto"/>
        <w:ind w:firstLine="420" w:firstLineChars="200"/>
        <w:rPr>
          <w:rFonts w:ascii="Times New Roman" w:hAnsi="Times New Roman"/>
          <w:szCs w:val="21"/>
        </w:rPr>
      </w:pPr>
      <w:r>
        <w:rPr>
          <w:rFonts w:ascii="Times New Roman" w:hAnsi="Times New Roman"/>
          <w:szCs w:val="21"/>
        </w:rPr>
        <w:t>（8） 甲方以书面形式提出的其他保密措施。</w:t>
      </w:r>
    </w:p>
    <w:p>
      <w:pPr>
        <w:spacing w:line="360" w:lineRule="auto"/>
        <w:ind w:firstLine="420" w:firstLineChars="200"/>
        <w:rPr>
          <w:rFonts w:ascii="Times New Roman" w:hAnsi="Times New Roman"/>
          <w:szCs w:val="21"/>
        </w:rPr>
      </w:pPr>
      <w:r>
        <w:rPr>
          <w:rFonts w:ascii="Times New Roman" w:hAnsi="Times New Roman"/>
          <w:szCs w:val="21"/>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szCs w:val="21"/>
        </w:rPr>
      </w:pPr>
      <w:r>
        <w:rPr>
          <w:rFonts w:ascii="Times New Roman" w:hAnsi="Times New Roman"/>
          <w:szCs w:val="21"/>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6. 履约验收要求</w:t>
      </w:r>
    </w:p>
    <w:p>
      <w:pPr>
        <w:spacing w:line="360" w:lineRule="auto"/>
        <w:ind w:firstLine="420" w:firstLineChars="200"/>
        <w:rPr>
          <w:rFonts w:ascii="Times New Roman" w:hAnsi="Times New Roman"/>
          <w:szCs w:val="21"/>
        </w:rPr>
      </w:pPr>
      <w:r>
        <w:rPr>
          <w:rFonts w:ascii="Times New Roman" w:hAnsi="Times New Roman"/>
          <w:szCs w:val="21"/>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szCs w:val="21"/>
        </w:rPr>
      </w:pPr>
      <w:r>
        <w:rPr>
          <w:rFonts w:ascii="Times New Roman" w:hAnsi="Times New Roman"/>
          <w:szCs w:val="21"/>
        </w:rPr>
        <w:t>6.2具体履约验收要求详见招标（采购）文件。</w:t>
      </w:r>
    </w:p>
    <w:p>
      <w:pPr>
        <w:tabs>
          <w:tab w:val="left" w:pos="0"/>
          <w:tab w:val="left" w:pos="540"/>
        </w:tabs>
        <w:spacing w:line="360" w:lineRule="auto"/>
        <w:ind w:firstLine="422" w:firstLineChars="200"/>
        <w:rPr>
          <w:rFonts w:ascii="Times New Roman" w:hAnsi="Times New Roman"/>
          <w:b/>
          <w:szCs w:val="21"/>
        </w:rPr>
      </w:pPr>
      <w:r>
        <w:rPr>
          <w:rFonts w:ascii="Times New Roman" w:hAnsi="Times New Roman"/>
          <w:b/>
          <w:szCs w:val="21"/>
        </w:rPr>
        <w:t>7. 履约保证金</w:t>
      </w:r>
    </w:p>
    <w:p>
      <w:pPr>
        <w:tabs>
          <w:tab w:val="left" w:pos="700"/>
        </w:tabs>
        <w:spacing w:line="360" w:lineRule="auto"/>
        <w:ind w:firstLine="420" w:firstLineChars="200"/>
        <w:rPr>
          <w:rFonts w:ascii="Times New Roman" w:hAnsi="Times New Roman"/>
          <w:szCs w:val="21"/>
        </w:rPr>
      </w:pPr>
      <w:r>
        <w:rPr>
          <w:rFonts w:ascii="Times New Roman" w:hAnsi="Times New Roman"/>
          <w:szCs w:val="21"/>
        </w:rPr>
        <w:t xml:space="preserve">7.1 </w:t>
      </w:r>
      <w:r>
        <w:rPr>
          <w:rFonts w:hint="eastAsia" w:ascii="Times New Roman" w:hAnsi="Times New Roman"/>
          <w:szCs w:val="21"/>
        </w:rPr>
        <w:t>本项目无</w:t>
      </w:r>
      <w:r>
        <w:rPr>
          <w:rFonts w:ascii="Times New Roman" w:hAnsi="Times New Roman"/>
          <w:szCs w:val="21"/>
        </w:rPr>
        <w:t>需提交履约保证金</w:t>
      </w:r>
      <w:r>
        <w:rPr>
          <w:rFonts w:hint="eastAsia" w:ascii="Times New Roman" w:hAnsi="Times New Roman"/>
          <w:szCs w:val="21"/>
        </w:rPr>
        <w:t>。</w:t>
      </w:r>
    </w:p>
    <w:p>
      <w:pPr>
        <w:tabs>
          <w:tab w:val="left" w:pos="0"/>
          <w:tab w:val="left" w:pos="540"/>
        </w:tabs>
        <w:spacing w:line="360" w:lineRule="auto"/>
        <w:ind w:firstLine="422" w:firstLineChars="200"/>
        <w:rPr>
          <w:rFonts w:ascii="Times New Roman" w:hAnsi="Times New Roman"/>
          <w:b/>
          <w:szCs w:val="21"/>
        </w:rPr>
      </w:pPr>
      <w:r>
        <w:rPr>
          <w:rFonts w:ascii="Times New Roman" w:hAnsi="Times New Roman"/>
          <w:b/>
          <w:szCs w:val="21"/>
        </w:rPr>
        <w:t>8．履约延误</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8.1 乙方应按照本合同的规定提供服务。</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9. 违约责任</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9.5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2" w:firstLineChars="200"/>
        <w:rPr>
          <w:rFonts w:ascii="Times New Roman" w:hAnsi="Times New Roman"/>
          <w:b/>
          <w:szCs w:val="21"/>
        </w:rPr>
      </w:pPr>
      <w:r>
        <w:rPr>
          <w:rFonts w:ascii="Times New Roman" w:hAnsi="Times New Roman"/>
          <w:b/>
          <w:szCs w:val="21"/>
        </w:rPr>
        <w:t>10. 不可抗力</w:t>
      </w:r>
    </w:p>
    <w:p>
      <w:pPr>
        <w:spacing w:line="360" w:lineRule="auto"/>
        <w:ind w:firstLine="420" w:firstLineChars="200"/>
        <w:rPr>
          <w:rFonts w:ascii="Times New Roman" w:hAnsi="Times New Roman"/>
          <w:szCs w:val="21"/>
        </w:rPr>
      </w:pPr>
      <w:r>
        <w:rPr>
          <w:rFonts w:ascii="Times New Roman" w:hAnsi="Times New Roman"/>
          <w:szCs w:val="21"/>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szCs w:val="21"/>
        </w:rPr>
      </w:pPr>
      <w:r>
        <w:rPr>
          <w:rFonts w:ascii="Times New Roman" w:hAnsi="Times New Roman"/>
          <w:szCs w:val="21"/>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szCs w:val="21"/>
        </w:rPr>
      </w:pPr>
      <w:r>
        <w:rPr>
          <w:rFonts w:ascii="Times New Roman" w:hAnsi="Times New Roman"/>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szCs w:val="21"/>
        </w:rPr>
      </w:pPr>
      <w:r>
        <w:rPr>
          <w:rFonts w:ascii="Times New Roman" w:hAnsi="Times New Roman"/>
          <w:szCs w:val="21"/>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b/>
          <w:szCs w:val="21"/>
        </w:rPr>
      </w:pPr>
      <w:r>
        <w:rPr>
          <w:rFonts w:ascii="Times New Roman" w:hAnsi="Times New Roman"/>
          <w:b/>
          <w:szCs w:val="21"/>
        </w:rPr>
        <w:t>11. 争端的解决</w:t>
      </w:r>
    </w:p>
    <w:p>
      <w:pPr>
        <w:spacing w:line="360" w:lineRule="auto"/>
        <w:ind w:firstLine="420" w:firstLineChars="200"/>
        <w:rPr>
          <w:rFonts w:ascii="Times New Roman" w:hAnsi="Times New Roman"/>
          <w:szCs w:val="21"/>
        </w:rPr>
      </w:pPr>
      <w:r>
        <w:rPr>
          <w:rFonts w:ascii="Times New Roman" w:hAnsi="Times New Roman"/>
          <w:szCs w:val="21"/>
        </w:rPr>
        <w:t>11.1 甲乙双方应首先通过友好协商解决在执行本合同中所发生的或与本合同有关的一切争端。如从协商开始</w:t>
      </w:r>
      <w:r>
        <w:rPr>
          <w:rFonts w:ascii="Times New Roman" w:hAnsi="Times New Roman"/>
          <w:szCs w:val="21"/>
          <w:u w:val="single"/>
        </w:rPr>
        <w:t xml:space="preserve">    </w:t>
      </w:r>
      <w:r>
        <w:rPr>
          <w:rFonts w:ascii="Times New Roman" w:hAnsi="Times New Roman"/>
          <w:szCs w:val="21"/>
        </w:rPr>
        <w:t>天内仍不能解决，可以按合同约定的方式提起仲裁或诉讼。</w:t>
      </w:r>
    </w:p>
    <w:p>
      <w:pPr>
        <w:spacing w:line="360" w:lineRule="auto"/>
        <w:ind w:left="239" w:leftChars="114" w:firstLine="210" w:firstLineChars="100"/>
        <w:rPr>
          <w:rFonts w:ascii="Times New Roman" w:hAnsi="Times New Roman"/>
          <w:szCs w:val="21"/>
        </w:rPr>
      </w:pPr>
      <w:r>
        <w:rPr>
          <w:rFonts w:ascii="Times New Roman" w:hAnsi="Times New Roman"/>
          <w:szCs w:val="21"/>
        </w:rPr>
        <w:t>11.2.1仲裁应向甲方所在地或</w:t>
      </w:r>
      <w:r>
        <w:rPr>
          <w:rFonts w:ascii="Times New Roman" w:hAnsi="Times New Roman"/>
          <w:szCs w:val="21"/>
          <w:u w:val="single"/>
        </w:rPr>
        <w:t xml:space="preserve">       </w:t>
      </w:r>
      <w:r>
        <w:rPr>
          <w:rFonts w:ascii="Times New Roman" w:hAnsi="Times New Roman"/>
          <w:szCs w:val="21"/>
        </w:rPr>
        <w:t>仲裁委员会申请仲裁。</w:t>
      </w:r>
    </w:p>
    <w:p>
      <w:pPr>
        <w:spacing w:line="360" w:lineRule="auto"/>
        <w:ind w:firstLine="420" w:firstLineChars="200"/>
        <w:rPr>
          <w:rFonts w:ascii="Times New Roman" w:hAnsi="Times New Roman"/>
          <w:szCs w:val="21"/>
        </w:rPr>
      </w:pPr>
      <w:r>
        <w:rPr>
          <w:rFonts w:ascii="Times New Roman" w:hAnsi="Times New Roman"/>
          <w:szCs w:val="21"/>
        </w:rPr>
        <w:t>11.2.2 仲裁裁决应为最终裁决，对双方均具有约束力。</w:t>
      </w:r>
    </w:p>
    <w:p>
      <w:pPr>
        <w:spacing w:line="360" w:lineRule="auto"/>
        <w:ind w:firstLine="420" w:firstLineChars="200"/>
        <w:rPr>
          <w:rFonts w:ascii="Times New Roman" w:hAnsi="Times New Roman"/>
          <w:szCs w:val="21"/>
        </w:rPr>
      </w:pPr>
      <w:r>
        <w:rPr>
          <w:rFonts w:ascii="Times New Roman" w:hAnsi="Times New Roman"/>
          <w:szCs w:val="21"/>
        </w:rPr>
        <w:t>11.2.3 仲裁费除仲裁机关另有裁决外应由败诉方负担。</w:t>
      </w:r>
    </w:p>
    <w:p>
      <w:pPr>
        <w:spacing w:line="360" w:lineRule="auto"/>
        <w:ind w:firstLine="420" w:firstLineChars="200"/>
        <w:rPr>
          <w:rFonts w:ascii="Times New Roman" w:hAnsi="Times New Roman"/>
          <w:szCs w:val="21"/>
        </w:rPr>
      </w:pPr>
      <w:r>
        <w:rPr>
          <w:rFonts w:ascii="Times New Roman" w:hAnsi="Times New Roman"/>
          <w:szCs w:val="21"/>
        </w:rPr>
        <w:t>11.2.4在仲裁期间，除正在进行仲裁部分外，本合同的其它部分应继续执行。</w:t>
      </w:r>
    </w:p>
    <w:p>
      <w:pPr>
        <w:spacing w:line="360" w:lineRule="auto"/>
        <w:ind w:firstLine="420" w:firstLineChars="200"/>
        <w:rPr>
          <w:rFonts w:ascii="Times New Roman" w:hAnsi="Times New Roman"/>
          <w:szCs w:val="21"/>
        </w:rPr>
      </w:pPr>
      <w:r>
        <w:rPr>
          <w:rFonts w:ascii="Times New Roman" w:hAnsi="Times New Roman"/>
          <w:szCs w:val="21"/>
        </w:rPr>
        <w:t>11.3.1诉讼应向甲方所在地或</w:t>
      </w:r>
      <w:r>
        <w:rPr>
          <w:rFonts w:ascii="Times New Roman" w:hAnsi="Times New Roman"/>
          <w:szCs w:val="21"/>
          <w:u w:val="single"/>
        </w:rPr>
        <w:t xml:space="preserve">      </w:t>
      </w:r>
      <w:r>
        <w:rPr>
          <w:rFonts w:ascii="Times New Roman" w:hAnsi="Times New Roman"/>
          <w:szCs w:val="21"/>
        </w:rPr>
        <w:t>人民法院提起诉讼。</w:t>
      </w:r>
    </w:p>
    <w:p>
      <w:pPr>
        <w:spacing w:line="360" w:lineRule="auto"/>
        <w:ind w:firstLine="420" w:firstLineChars="200"/>
        <w:rPr>
          <w:rFonts w:ascii="Times New Roman" w:hAnsi="Times New Roman"/>
          <w:szCs w:val="21"/>
        </w:rPr>
      </w:pPr>
      <w:r>
        <w:rPr>
          <w:rFonts w:ascii="Times New Roman" w:hAnsi="Times New Roman"/>
          <w:szCs w:val="21"/>
        </w:rPr>
        <w:t>11.3.2诉讼费除人民法院另有判决外，应由败诉方负担。</w:t>
      </w:r>
    </w:p>
    <w:p>
      <w:pPr>
        <w:spacing w:line="360" w:lineRule="auto"/>
        <w:ind w:firstLine="420" w:firstLineChars="200"/>
        <w:rPr>
          <w:rFonts w:ascii="Times New Roman" w:hAnsi="Times New Roman"/>
          <w:szCs w:val="21"/>
        </w:rPr>
      </w:pPr>
      <w:r>
        <w:rPr>
          <w:rFonts w:ascii="Times New Roman" w:hAnsi="Times New Roman"/>
          <w:szCs w:val="21"/>
        </w:rPr>
        <w:t>11.3.3在诉讼期间，除正在进行诉讼部分外，本合同的其它部分应继续执行。</w:t>
      </w:r>
    </w:p>
    <w:p>
      <w:pPr>
        <w:spacing w:line="360" w:lineRule="auto"/>
        <w:ind w:firstLine="422" w:firstLineChars="200"/>
        <w:rPr>
          <w:rFonts w:ascii="Times New Roman" w:hAnsi="Times New Roman"/>
          <w:b/>
          <w:szCs w:val="21"/>
        </w:rPr>
      </w:pPr>
      <w:r>
        <w:rPr>
          <w:rFonts w:ascii="Times New Roman" w:hAnsi="Times New Roman"/>
          <w:b/>
          <w:szCs w:val="21"/>
        </w:rPr>
        <w:t>12. 违约终止合同</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12.1.5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12.1.8 乙方提供的服务侵犯甲方、第三方知识产权等合法权益的；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12.1.9 乙方或乙方人员造成甲方或第三方经济损失而拒不赔偿的；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12.1.10 乙方转让其应履行的合同义务，或未经甲方同意采取分包方式履行合同</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12.1.11 乙方有其他严重违约行为的。</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2" w:firstLineChars="200"/>
        <w:rPr>
          <w:rFonts w:ascii="Times New Roman" w:hAnsi="Times New Roman"/>
          <w:b/>
          <w:szCs w:val="21"/>
        </w:rPr>
      </w:pPr>
      <w:r>
        <w:rPr>
          <w:rFonts w:ascii="Times New Roman" w:hAnsi="Times New Roman"/>
          <w:b/>
          <w:szCs w:val="21"/>
        </w:rPr>
        <w:t>13. 破产终止合同</w:t>
      </w:r>
    </w:p>
    <w:p>
      <w:pPr>
        <w:spacing w:line="360" w:lineRule="auto"/>
        <w:ind w:firstLine="420" w:firstLineChars="200"/>
        <w:rPr>
          <w:rFonts w:ascii="Times New Roman" w:hAnsi="Times New Roman"/>
          <w:szCs w:val="21"/>
        </w:rPr>
      </w:pPr>
      <w:r>
        <w:rPr>
          <w:rFonts w:ascii="Times New Roman" w:hAnsi="Times New Roman"/>
          <w:szCs w:val="21"/>
        </w:rPr>
        <w:t>13.1 如果乙方破产或无清偿能力，甲方可在任何时候以书面形式通知乙方终止合同而不给乙方补偿。</w:t>
      </w:r>
    </w:p>
    <w:p>
      <w:pPr>
        <w:spacing w:line="360" w:lineRule="auto"/>
        <w:ind w:firstLine="420" w:firstLineChars="200"/>
        <w:rPr>
          <w:rFonts w:ascii="Times New Roman" w:hAnsi="Times New Roman"/>
          <w:szCs w:val="21"/>
        </w:rPr>
      </w:pPr>
      <w:r>
        <w:rPr>
          <w:rFonts w:ascii="Times New Roman" w:hAnsi="Times New Roman"/>
          <w:szCs w:val="21"/>
        </w:rPr>
        <w:t>13.2该终止合同将不损害或影响甲方已经采取或将要采取的任何行动或补救措施的权利。</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14. 其他情况的终止合同</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2" w:firstLineChars="200"/>
        <w:rPr>
          <w:rFonts w:ascii="Times New Roman" w:hAnsi="Times New Roman"/>
          <w:b/>
          <w:szCs w:val="21"/>
        </w:rPr>
      </w:pPr>
      <w:r>
        <w:rPr>
          <w:rFonts w:ascii="Times New Roman" w:hAnsi="Times New Roman"/>
          <w:b/>
          <w:szCs w:val="21"/>
        </w:rPr>
        <w:t>15. 合同修改或变更</w:t>
      </w:r>
    </w:p>
    <w:p>
      <w:pPr>
        <w:spacing w:line="360" w:lineRule="auto"/>
        <w:ind w:firstLine="482"/>
        <w:rPr>
          <w:rFonts w:ascii="Times New Roman" w:hAnsi="Times New Roman"/>
          <w:szCs w:val="21"/>
        </w:rPr>
      </w:pPr>
      <w:r>
        <w:rPr>
          <w:rFonts w:ascii="Times New Roman" w:hAnsi="Times New Roman"/>
          <w:szCs w:val="21"/>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b/>
          <w:szCs w:val="21"/>
        </w:rPr>
      </w:pPr>
      <w:r>
        <w:rPr>
          <w:rFonts w:ascii="Times New Roman" w:hAnsi="Times New Roman"/>
          <w:szCs w:val="21"/>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15.3 由于采购人项目统一规划等原因导致本项目停止部分服务的，甲方将与乙方协商处理。</w:t>
      </w:r>
    </w:p>
    <w:p>
      <w:pPr>
        <w:spacing w:line="360" w:lineRule="auto"/>
        <w:ind w:firstLine="422" w:firstLineChars="200"/>
        <w:rPr>
          <w:rFonts w:ascii="Times New Roman" w:hAnsi="Times New Roman"/>
          <w:b/>
          <w:szCs w:val="21"/>
        </w:rPr>
      </w:pPr>
      <w:r>
        <w:rPr>
          <w:rFonts w:ascii="Times New Roman" w:hAnsi="Times New Roman"/>
          <w:b/>
          <w:szCs w:val="21"/>
        </w:rPr>
        <w:t>16. 转让和分包</w:t>
      </w:r>
    </w:p>
    <w:p>
      <w:pPr>
        <w:spacing w:line="360" w:lineRule="auto"/>
        <w:ind w:firstLine="420" w:firstLineChars="200"/>
        <w:rPr>
          <w:rFonts w:ascii="Times New Roman" w:hAnsi="Times New Roman"/>
          <w:szCs w:val="21"/>
        </w:rPr>
      </w:pPr>
      <w:r>
        <w:rPr>
          <w:rFonts w:ascii="Times New Roman" w:hAnsi="Times New Roman"/>
          <w:szCs w:val="21"/>
        </w:rPr>
        <w:t>16.1 除甲方事先书面同意外，乙方不得部分转让或全部转让其应履行的合同义务。</w:t>
      </w:r>
    </w:p>
    <w:p>
      <w:pPr>
        <w:spacing w:line="360" w:lineRule="auto"/>
        <w:ind w:firstLine="420" w:firstLineChars="200"/>
        <w:rPr>
          <w:rFonts w:ascii="Times New Roman" w:hAnsi="Times New Roman"/>
          <w:szCs w:val="21"/>
        </w:rPr>
      </w:pPr>
      <w:r>
        <w:rPr>
          <w:rFonts w:ascii="Times New Roman" w:hAnsi="Times New Roman"/>
          <w:szCs w:val="21"/>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17. 合同语言</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17.1 本合同语言为中文。</w:t>
      </w:r>
    </w:p>
    <w:p>
      <w:pPr>
        <w:spacing w:line="360" w:lineRule="auto"/>
        <w:ind w:firstLine="420" w:firstLineChars="200"/>
        <w:rPr>
          <w:rFonts w:ascii="Times New Roman" w:hAnsi="Times New Roman"/>
          <w:szCs w:val="21"/>
        </w:rPr>
      </w:pPr>
      <w:r>
        <w:rPr>
          <w:rFonts w:ascii="Times New Roman" w:hAnsi="Times New Roman"/>
          <w:szCs w:val="21"/>
        </w:rPr>
        <w:t>17.2 双方交换的与合同有关的信件和其他文件应用合同语言书写。</w:t>
      </w:r>
    </w:p>
    <w:p>
      <w:pPr>
        <w:spacing w:line="360" w:lineRule="auto"/>
        <w:ind w:firstLine="422" w:firstLineChars="200"/>
        <w:rPr>
          <w:rFonts w:ascii="Times New Roman" w:hAnsi="Times New Roman"/>
          <w:b/>
          <w:szCs w:val="21"/>
        </w:rPr>
      </w:pPr>
      <w:r>
        <w:rPr>
          <w:rFonts w:ascii="Times New Roman" w:hAnsi="Times New Roman"/>
          <w:b/>
          <w:szCs w:val="21"/>
        </w:rPr>
        <w:t>18. 适用法律</w:t>
      </w:r>
    </w:p>
    <w:p>
      <w:pPr>
        <w:spacing w:line="360" w:lineRule="auto"/>
        <w:ind w:firstLine="420" w:firstLineChars="200"/>
        <w:rPr>
          <w:rFonts w:ascii="Times New Roman" w:hAnsi="Times New Roman"/>
          <w:szCs w:val="21"/>
        </w:rPr>
      </w:pPr>
      <w:r>
        <w:rPr>
          <w:rFonts w:ascii="Times New Roman" w:hAnsi="Times New Roman"/>
          <w:szCs w:val="21"/>
        </w:rPr>
        <w:t>18.1 本合同按照中华人民共和国现行法律进行解释。</w:t>
      </w:r>
    </w:p>
    <w:p>
      <w:pPr>
        <w:spacing w:line="360" w:lineRule="auto"/>
        <w:ind w:firstLine="420" w:firstLineChars="200"/>
        <w:rPr>
          <w:rFonts w:ascii="Times New Roman" w:hAnsi="Times New Roman"/>
          <w:szCs w:val="21"/>
        </w:rPr>
      </w:pPr>
      <w:r>
        <w:rPr>
          <w:rFonts w:ascii="Times New Roman" w:hAnsi="Times New Roman"/>
          <w:szCs w:val="21"/>
        </w:rPr>
        <w:t>18.2 本合同的履行、违约责任和解决争议的方法等适用《中华人民共和国民法典（合同编）》。</w:t>
      </w:r>
    </w:p>
    <w:p>
      <w:pPr>
        <w:topLinePunct/>
        <w:autoSpaceDE w:val="0"/>
        <w:autoSpaceDN w:val="0"/>
        <w:spacing w:line="360" w:lineRule="auto"/>
        <w:ind w:firstLine="422" w:firstLineChars="200"/>
        <w:rPr>
          <w:rFonts w:ascii="Times New Roman" w:hAnsi="Times New Roman"/>
          <w:b/>
          <w:szCs w:val="21"/>
        </w:rPr>
      </w:pPr>
      <w:r>
        <w:rPr>
          <w:rFonts w:ascii="Times New Roman" w:hAnsi="Times New Roman"/>
          <w:b/>
          <w:szCs w:val="21"/>
        </w:rPr>
        <w:t>19. 税费</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19.1 乙方应依法缴纳的合同服务相关税费，均已包含于合同总金额中，甲方不再另行支付。</w:t>
      </w:r>
    </w:p>
    <w:p>
      <w:pPr>
        <w:tabs>
          <w:tab w:val="left" w:pos="700"/>
        </w:tabs>
        <w:spacing w:line="360" w:lineRule="auto"/>
        <w:ind w:firstLine="422" w:firstLineChars="200"/>
        <w:rPr>
          <w:rFonts w:ascii="Times New Roman" w:hAnsi="Times New Roman"/>
          <w:b/>
          <w:szCs w:val="21"/>
        </w:rPr>
      </w:pPr>
      <w:r>
        <w:rPr>
          <w:rFonts w:ascii="Times New Roman" w:hAnsi="Times New Roman"/>
          <w:b/>
          <w:szCs w:val="21"/>
        </w:rPr>
        <w:t>20. 合同生效</w:t>
      </w:r>
    </w:p>
    <w:p>
      <w:pPr>
        <w:spacing w:line="360" w:lineRule="auto"/>
        <w:ind w:firstLine="420" w:firstLineChars="200"/>
        <w:rPr>
          <w:rFonts w:ascii="Times New Roman" w:hAnsi="Times New Roman"/>
          <w:szCs w:val="21"/>
        </w:rPr>
      </w:pPr>
      <w:r>
        <w:rPr>
          <w:rFonts w:ascii="Times New Roman" w:hAnsi="Times New Roman"/>
          <w:szCs w:val="21"/>
        </w:rPr>
        <w:t>20.1 本合同一式</w:t>
      </w:r>
      <w:r>
        <w:rPr>
          <w:rFonts w:ascii="Times New Roman" w:hAnsi="Times New Roman"/>
          <w:szCs w:val="21"/>
          <w:u w:val="single"/>
        </w:rPr>
        <w:t xml:space="preserve">   </w:t>
      </w:r>
      <w:r>
        <w:rPr>
          <w:rFonts w:ascii="Times New Roman" w:hAnsi="Times New Roman"/>
          <w:szCs w:val="21"/>
        </w:rPr>
        <w:t>份，由甲乙双方法定代表人或被授权人签字并盖章后生效。</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rPr>
          <w:rFonts w:hint="eastAsia" w:ascii="宋体" w:hAnsi="宋体" w:cs="宋体"/>
          <w:sz w:val="24"/>
        </w:rPr>
      </w:pPr>
      <w:r>
        <w:rPr>
          <w:rFonts w:hint="eastAsia" w:ascii="宋体" w:hAnsi="宋体" w:cs="宋体"/>
          <w:sz w:val="24"/>
        </w:rPr>
        <w:br w:type="page"/>
      </w:r>
    </w:p>
    <w:p>
      <w:pPr>
        <w:ind w:firstLine="480" w:firstLineChars="200"/>
        <w:rPr>
          <w:rFonts w:hint="eastAsia" w:ascii="宋体" w:hAnsi="宋体" w:cs="宋体"/>
          <w:sz w:val="24"/>
        </w:rPr>
      </w:pPr>
    </w:p>
    <w:p>
      <w:pPr>
        <w:topLinePunct/>
        <w:autoSpaceDE w:val="0"/>
        <w:autoSpaceDN w:val="0"/>
        <w:spacing w:line="360" w:lineRule="auto"/>
        <w:jc w:val="center"/>
        <w:rPr>
          <w:rFonts w:hint="eastAsia" w:ascii="宋体" w:hAnsi="宋体" w:cs="宋体"/>
          <w:b/>
          <w:sz w:val="24"/>
        </w:rPr>
      </w:pPr>
      <w:r>
        <w:rPr>
          <w:rFonts w:hint="eastAsia" w:ascii="宋体" w:hAnsi="宋体" w:cs="宋体"/>
          <w:b/>
          <w:sz w:val="24"/>
        </w:rPr>
        <w:t>三   招标（采购）文件及投标（响应）文件（如需要，可另附）</w:t>
      </w:r>
    </w:p>
    <w:p>
      <w:pPr>
        <w:spacing w:line="360" w:lineRule="auto"/>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四   报价表（总报价表和分项报价表，如有需要可另附）</w:t>
      </w:r>
    </w:p>
    <w:p/>
    <w:p>
      <w:pPr>
        <w:sectPr>
          <w:pgSz w:w="11906" w:h="16838"/>
          <w:pgMar w:top="1440" w:right="1752" w:bottom="1440" w:left="1752" w:header="851" w:footer="992" w:gutter="0"/>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53" w:name="_Toc3520"/>
      <w:bookmarkStart w:id="54" w:name="_Toc132880284"/>
      <w:r>
        <w:rPr>
          <w:rFonts w:hint="eastAsia" w:ascii="华文中宋" w:hAnsi="华文中宋" w:eastAsia="华文中宋" w:cs="华文中宋"/>
          <w:sz w:val="28"/>
          <w:szCs w:val="28"/>
        </w:rPr>
        <w:t>第五章　投标文件格式</w:t>
      </w:r>
      <w:bookmarkEnd w:id="53"/>
      <w:bookmarkEnd w:id="54"/>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投标人按下列文本格式，如实提供具有法律效力的资格证明文件和真实有效的其他文件资料，任何不按下列文本格式提供或有实质性变更将由投标人承担风险。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1.投标人按照本章规定填写和提交全部格式文件以及其他有关资料，混乱的编排导致投标文件被误读或查找不到，后果由投标人承担。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6.以下格式文件为</w:t>
      </w:r>
      <w:r>
        <w:rPr>
          <w:rFonts w:hint="eastAsia" w:ascii="Times New Roman" w:hAnsi="Times New Roman"/>
          <w:szCs w:val="21"/>
        </w:rPr>
        <w:t>参考</w:t>
      </w:r>
      <w:r>
        <w:rPr>
          <w:rFonts w:ascii="Times New Roman" w:hAnsi="Times New Roman"/>
          <w:szCs w:val="21"/>
        </w:rPr>
        <w:t>格式，其他未提供格式的文件和资料由投标人自行设计编制格式填写。</w:t>
      </w:r>
    </w:p>
    <w:p>
      <w:pPr>
        <w:adjustRightInd w:val="0"/>
        <w:snapToGrid w:val="0"/>
        <w:spacing w:before="62" w:beforeLines="20" w:after="4" w:line="360" w:lineRule="auto"/>
        <w:ind w:firstLine="422" w:firstLineChars="200"/>
        <w:jc w:val="center"/>
        <w:rPr>
          <w:b/>
          <w:bCs/>
        </w:rPr>
      </w:pPr>
    </w:p>
    <w:p>
      <w:pPr>
        <w:ind w:firstLine="422" w:firstLineChars="200"/>
        <w:jc w:val="center"/>
        <w:rPr>
          <w:b/>
          <w:bCs/>
        </w:rPr>
      </w:pPr>
    </w:p>
    <w:p/>
    <w:p>
      <w:pPr>
        <w:rPr>
          <w:b/>
          <w:bCs/>
        </w:rPr>
      </w:pPr>
    </w:p>
    <w:p>
      <w:pPr>
        <w:adjustRightInd w:val="0"/>
        <w:snapToGrid w:val="0"/>
        <w:spacing w:line="360" w:lineRule="auto"/>
        <w:jc w:val="center"/>
        <w:rPr>
          <w:b/>
          <w:bCs/>
        </w:rPr>
      </w:pPr>
      <w:r>
        <w:rPr>
          <w:rFonts w:hint="eastAsia"/>
          <w:b/>
          <w:bCs/>
        </w:rPr>
        <w:br w:type="page"/>
      </w:r>
    </w:p>
    <w:p>
      <w:pPr>
        <w:spacing w:line="600" w:lineRule="auto"/>
        <w:jc w:val="center"/>
        <w:rPr>
          <w:rFonts w:hint="eastAsia" w:ascii="宋体" w:hAnsi="宋体"/>
          <w:b/>
          <w:kern w:val="0"/>
          <w:sz w:val="44"/>
          <w:szCs w:val="44"/>
        </w:rPr>
      </w:pPr>
    </w:p>
    <w:p>
      <w:pPr>
        <w:spacing w:line="600" w:lineRule="auto"/>
        <w:jc w:val="center"/>
        <w:rPr>
          <w:rFonts w:hint="eastAsia" w:ascii="华文中宋" w:hAnsi="华文中宋" w:eastAsia="华文中宋" w:cs="华文中宋"/>
          <w:bCs/>
          <w:kern w:val="0"/>
          <w:sz w:val="32"/>
          <w:szCs w:val="32"/>
        </w:rPr>
      </w:pP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投  标  文  件</w:t>
      </w: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商务部分</w:t>
      </w:r>
    </w:p>
    <w:p>
      <w:pPr>
        <w:spacing w:line="360" w:lineRule="auto"/>
        <w:ind w:firstLine="640" w:firstLineChars="200"/>
        <w:jc w:val="center"/>
        <w:rPr>
          <w:rFonts w:hint="eastAsia" w:ascii="宋体" w:hAnsi="宋体"/>
          <w:kern w:val="0"/>
          <w:sz w:val="32"/>
          <w:szCs w:val="32"/>
        </w:rPr>
      </w:pPr>
    </w:p>
    <w:p>
      <w:pPr>
        <w:spacing w:line="360" w:lineRule="auto"/>
        <w:jc w:val="center"/>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（填写正本或副本）</w:t>
      </w:r>
    </w:p>
    <w:p>
      <w:pPr>
        <w:spacing w:line="360" w:lineRule="auto"/>
        <w:ind w:firstLine="480" w:firstLineChars="200"/>
        <w:jc w:val="center"/>
        <w:rPr>
          <w:rFonts w:hint="eastAsia" w:ascii="方正小标宋简体" w:hAnsi="方正小标宋简体" w:eastAsia="方正小标宋简体" w:cs="方正小标宋简体"/>
          <w:bCs/>
          <w:kern w:val="0"/>
          <w:sz w:val="24"/>
          <w:szCs w:val="24"/>
        </w:rPr>
      </w:pP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项目名称：</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项目编号：</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所投采购包：</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480" w:firstLineChars="200"/>
        <w:jc w:val="center"/>
        <w:rPr>
          <w:rFonts w:hint="eastAsia" w:ascii="方正小标宋简体" w:hAnsi="方正小标宋简体" w:eastAsia="方正小标宋简体" w:cs="方正小标宋简体"/>
          <w:bCs/>
          <w:kern w:val="0"/>
          <w:sz w:val="24"/>
          <w:szCs w:val="24"/>
        </w:rPr>
      </w:pP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投标人：</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日  期：</w:t>
      </w:r>
      <w:r>
        <w:rPr>
          <w:rFonts w:hint="eastAsia" w:ascii="方正小标宋简体" w:hAnsi="方正小标宋简体" w:eastAsia="方正小标宋简体" w:cs="方正小标宋简体"/>
          <w:bCs/>
          <w:kern w:val="0"/>
          <w:sz w:val="24"/>
          <w:szCs w:val="24"/>
          <w:u w:val="single"/>
        </w:rPr>
        <w:t xml:space="preserve">                 </w:t>
      </w:r>
    </w:p>
    <w:p>
      <w:pPr>
        <w:widowControl/>
        <w:jc w:val="left"/>
        <w:rPr>
          <w:rFonts w:hint="eastAsia" w:ascii="宋体" w:hAnsi="宋体" w:cs="宋体"/>
          <w:b/>
          <w:bCs/>
          <w:sz w:val="36"/>
          <w:szCs w:val="36"/>
        </w:rPr>
      </w:pPr>
      <w:r>
        <w:rPr>
          <w:rFonts w:ascii="宋体" w:hAnsi="宋体" w:cs="宋体"/>
          <w:b/>
          <w:bCs/>
          <w:sz w:val="36"/>
          <w:szCs w:val="36"/>
        </w:rPr>
        <w:br w:type="page"/>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格式1  授权委托书</w:t>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1-1法定代表人授权委托书</w:t>
      </w:r>
    </w:p>
    <w:p>
      <w:pPr>
        <w:adjustRightInd w:val="0"/>
        <w:snapToGrid w:val="0"/>
        <w:spacing w:line="360" w:lineRule="auto"/>
        <w:jc w:val="center"/>
        <w:rPr>
          <w:rFonts w:hint="eastAsia" w:ascii="宋体" w:hAnsi="宋体" w:cs="宋体"/>
          <w:b/>
          <w:bCs/>
          <w:sz w:val="24"/>
        </w:rPr>
      </w:pPr>
      <w:r>
        <w:rPr>
          <w:rFonts w:ascii="宋体" w:hAnsi="宋体" w:cs="宋体"/>
          <w:szCs w:val="21"/>
        </w:rPr>
        <w:t>(</w:t>
      </w:r>
      <w:r>
        <w:rPr>
          <w:rFonts w:hint="eastAsia" w:ascii="宋体" w:hAnsi="宋体" w:cs="宋体"/>
          <w:szCs w:val="21"/>
        </w:rPr>
        <w:t>适用于授权代表参加投标</w:t>
      </w:r>
      <w:r>
        <w:rPr>
          <w:rFonts w:ascii="宋体" w:hAnsi="宋体" w:cs="宋体"/>
          <w:szCs w:val="21"/>
        </w:rPr>
        <w:t>)</w:t>
      </w:r>
    </w:p>
    <w:p>
      <w:pPr>
        <w:pStyle w:val="11"/>
        <w:rPr>
          <w:rFonts w:ascii="Times New Roman" w:hAnsi="Times New Roman" w:eastAsia="仿宋_GB2312"/>
        </w:rPr>
      </w:pPr>
    </w:p>
    <w:p>
      <w:pPr>
        <w:spacing w:line="360" w:lineRule="auto"/>
      </w:pPr>
      <w:r>
        <w:t>致____________(采购人或采购代理机构)：</w:t>
      </w:r>
    </w:p>
    <w:p>
      <w:pPr>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szCs w:val="21"/>
          <w:u w:val="single"/>
        </w:rPr>
        <w:t xml:space="preserve">          项目</w:t>
      </w:r>
      <w:r>
        <w:rPr>
          <w:rFonts w:hint="eastAsia" w:ascii="宋体" w:hAnsi="宋体" w:cs="宋体"/>
          <w:szCs w:val="21"/>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本授权书于______年______月_____日生效，特此声明。</w:t>
      </w:r>
    </w:p>
    <w:p>
      <w:pPr>
        <w:pStyle w:val="11"/>
        <w:adjustRightInd w:val="0"/>
        <w:snapToGrid w:val="0"/>
        <w:spacing w:line="360" w:lineRule="auto"/>
        <w:ind w:firstLine="420" w:firstLineChars="200"/>
        <w:rPr>
          <w:rFonts w:hint="eastAsia" w:hAnsi="宋体" w:cs="宋体"/>
        </w:rPr>
      </w:pPr>
      <w:r>
        <w:rPr>
          <w:rFonts w:hint="eastAsia" w:hAnsi="宋体" w:cs="宋体"/>
        </w:rPr>
        <w:t>被授权投标代表无转委托权。</w:t>
      </w:r>
    </w:p>
    <w:p>
      <w:pPr>
        <w:pStyle w:val="11"/>
        <w:adjustRightInd w:val="0"/>
        <w:snapToGrid w:val="0"/>
        <w:spacing w:line="360" w:lineRule="auto"/>
        <w:rPr>
          <w:rFonts w:hint="eastAsia" w:hAnsi="宋体" w:cs="宋体"/>
        </w:rPr>
      </w:pPr>
    </w:p>
    <w:tbl>
      <w:tblPr>
        <w:tblStyle w:val="24"/>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b/>
                <w:bCs/>
              </w:rPr>
            </w:pPr>
            <w:r>
              <w:rPr>
                <w:rFonts w:hint="eastAsia" w:hAnsi="宋体" w:cs="宋体"/>
                <w:b/>
              </w:rPr>
              <w:t>法定代表人与被授权投标代表</w:t>
            </w:r>
            <w:r>
              <w:rPr>
                <w:rFonts w:hint="eastAsia" w:hAnsi="宋体" w:cs="宋体"/>
                <w:b/>
                <w:bCs/>
              </w:rPr>
              <w:t>身份证复印件</w:t>
            </w: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tc>
      </w:tr>
    </w:tbl>
    <w:p>
      <w:pPr>
        <w:pStyle w:val="11"/>
        <w:adjustRightInd w:val="0"/>
        <w:snapToGrid w:val="0"/>
        <w:spacing w:line="360" w:lineRule="auto"/>
        <w:jc w:val="left"/>
        <w:rPr>
          <w:rFonts w:hint="eastAsia" w:hAnsi="宋体" w:cs="宋体"/>
        </w:rPr>
      </w:pPr>
    </w:p>
    <w:p>
      <w:pPr>
        <w:tabs>
          <w:tab w:val="left" w:pos="1230"/>
        </w:tabs>
        <w:topLinePunct/>
        <w:autoSpaceDE w:val="0"/>
        <w:autoSpaceDN w:val="0"/>
        <w:adjustRightInd w:val="0"/>
        <w:snapToGrid w:val="0"/>
        <w:spacing w:line="360" w:lineRule="auto"/>
        <w:ind w:left="363"/>
        <w:rPr>
          <w:rFonts w:hint="eastAsia" w:ascii="宋体" w:hAnsi="宋体" w:cs="宋体"/>
          <w:szCs w:val="21"/>
        </w:rPr>
      </w:pPr>
      <w:r>
        <w:rPr>
          <w:rFonts w:hint="eastAsia" w:ascii="宋体" w:hAnsi="宋体" w:cs="宋体"/>
          <w:szCs w:val="21"/>
        </w:rPr>
        <w:t>投标人名称（公章）：________________</w:t>
      </w:r>
    </w:p>
    <w:p>
      <w:pPr>
        <w:tabs>
          <w:tab w:val="left" w:pos="1230"/>
        </w:tabs>
        <w:topLinePunct/>
        <w:autoSpaceDE w:val="0"/>
        <w:autoSpaceDN w:val="0"/>
        <w:adjustRightInd w:val="0"/>
        <w:snapToGrid w:val="0"/>
        <w:spacing w:line="360" w:lineRule="auto"/>
        <w:ind w:left="363"/>
        <w:rPr>
          <w:rFonts w:hint="eastAsia" w:ascii="宋体" w:hAnsi="宋体" w:cs="宋体"/>
          <w:szCs w:val="21"/>
        </w:rPr>
      </w:pPr>
      <w:r>
        <w:rPr>
          <w:rFonts w:hint="eastAsia" w:ascii="宋体" w:hAnsi="宋体" w:cs="宋体"/>
          <w:szCs w:val="21"/>
        </w:rPr>
        <w:t>法定代表人（签字或签章）：________________</w:t>
      </w:r>
    </w:p>
    <w:p>
      <w:pPr>
        <w:tabs>
          <w:tab w:val="left" w:pos="1230"/>
        </w:tabs>
        <w:topLinePunct/>
        <w:autoSpaceDE w:val="0"/>
        <w:autoSpaceDN w:val="0"/>
        <w:adjustRightInd w:val="0"/>
        <w:snapToGrid w:val="0"/>
        <w:spacing w:line="360" w:lineRule="auto"/>
        <w:ind w:left="363"/>
        <w:rPr>
          <w:rFonts w:hint="eastAsia" w:ascii="宋体" w:hAnsi="宋体" w:cs="宋体"/>
          <w:szCs w:val="21"/>
        </w:rPr>
      </w:pPr>
      <w:r>
        <w:rPr>
          <w:rFonts w:hint="eastAsia" w:ascii="宋体" w:hAnsi="宋体" w:cs="宋体"/>
          <w:szCs w:val="21"/>
        </w:rPr>
        <w:t>被授权投标代表（签字）：________________</w:t>
      </w:r>
    </w:p>
    <w:p>
      <w:pPr>
        <w:tabs>
          <w:tab w:val="left" w:pos="1230"/>
        </w:tabs>
        <w:topLinePunct/>
        <w:autoSpaceDE w:val="0"/>
        <w:autoSpaceDN w:val="0"/>
        <w:adjustRightInd w:val="0"/>
        <w:snapToGrid w:val="0"/>
        <w:spacing w:line="360" w:lineRule="auto"/>
        <w:ind w:left="363"/>
        <w:rPr>
          <w:rFonts w:hint="eastAsia" w:ascii="宋体" w:hAnsi="宋体" w:cs="宋体"/>
          <w:szCs w:val="21"/>
        </w:rPr>
      </w:pPr>
      <w:r>
        <w:rPr>
          <w:rFonts w:hint="eastAsia" w:ascii="宋体" w:hAnsi="宋体" w:cs="宋体"/>
          <w:szCs w:val="21"/>
        </w:rPr>
        <w:t>被授权投标代表联系电话：____________</w:t>
      </w:r>
    </w:p>
    <w:p>
      <w:pPr>
        <w:tabs>
          <w:tab w:val="left" w:pos="1230"/>
        </w:tabs>
        <w:topLinePunct/>
        <w:autoSpaceDE w:val="0"/>
        <w:autoSpaceDN w:val="0"/>
        <w:adjustRightInd w:val="0"/>
        <w:snapToGrid w:val="0"/>
        <w:spacing w:line="360" w:lineRule="auto"/>
        <w:ind w:left="363"/>
        <w:rPr>
          <w:rFonts w:hint="eastAsia" w:ascii="宋体" w:hAnsi="宋体" w:cs="宋体"/>
          <w:szCs w:val="21"/>
        </w:rPr>
      </w:pPr>
      <w:r>
        <w:rPr>
          <w:rFonts w:hint="eastAsia" w:ascii="宋体" w:hAnsi="宋体" w:cs="宋体"/>
          <w:szCs w:val="21"/>
        </w:rPr>
        <w:t>日期：____________</w:t>
      </w:r>
    </w:p>
    <w:p>
      <w:pPr>
        <w:topLinePunct/>
        <w:autoSpaceDE w:val="0"/>
        <w:autoSpaceDN w:val="0"/>
        <w:adjustRightInd w:val="0"/>
        <w:snapToGrid w:val="0"/>
        <w:spacing w:line="360" w:lineRule="auto"/>
        <w:jc w:val="left"/>
        <w:rPr>
          <w:rFonts w:ascii="Times New Roman" w:hAnsi="Times New Roman"/>
        </w:rPr>
      </w:pPr>
    </w:p>
    <w:p>
      <w:pPr>
        <w:topLinePunct/>
        <w:autoSpaceDE w:val="0"/>
        <w:autoSpaceDN w:val="0"/>
        <w:adjustRightInd w:val="0"/>
        <w:snapToGrid w:val="0"/>
        <w:spacing w:line="360" w:lineRule="auto"/>
        <w:jc w:val="left"/>
        <w:rPr>
          <w:rFonts w:ascii="Times New Roman" w:hAnsi="Times New Roman"/>
          <w:i/>
          <w:iCs/>
        </w:rPr>
      </w:pPr>
      <w:r>
        <w:rPr>
          <w:rFonts w:ascii="Times New Roman" w:hAnsi="Times New Roman"/>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cs="宋体"/>
        </w:rPr>
      </w:pPr>
      <w:r>
        <w:rPr>
          <w:rFonts w:ascii="Times New Roman" w:hAnsi="Times New Roman"/>
        </w:rPr>
        <w:t>1.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r>
        <w:rPr>
          <w:rFonts w:ascii="Times New Roman" w:hAnsi="Times New Roman"/>
          <w:szCs w:val="21"/>
        </w:rPr>
        <w:t>。</w:t>
      </w:r>
    </w:p>
    <w:p>
      <w:pPr>
        <w:adjustRightInd w:val="0"/>
        <w:snapToGrid w:val="0"/>
        <w:spacing w:line="360" w:lineRule="auto"/>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1-2法定代表人身份证明复印件</w:t>
      </w:r>
    </w:p>
    <w:p>
      <w:pPr>
        <w:adjustRightInd w:val="0"/>
        <w:snapToGrid w:val="0"/>
        <w:spacing w:line="360" w:lineRule="auto"/>
        <w:jc w:val="center"/>
        <w:rPr>
          <w:rFonts w:hint="eastAsia" w:ascii="宋体" w:hAnsi="宋体" w:cs="宋体"/>
          <w:szCs w:val="21"/>
        </w:rPr>
      </w:pPr>
      <w:r>
        <w:rPr>
          <w:rFonts w:ascii="宋体" w:hAnsi="宋体" w:cs="宋体"/>
          <w:szCs w:val="21"/>
        </w:rPr>
        <w:t>(适用于法定代表人参加投标)</w:t>
      </w:r>
    </w:p>
    <w:p>
      <w:pPr>
        <w:topLinePunct/>
        <w:autoSpaceDE w:val="0"/>
        <w:autoSpaceDN w:val="0"/>
        <w:adjustRightInd w:val="0"/>
        <w:snapToGrid w:val="0"/>
        <w:spacing w:line="360" w:lineRule="auto"/>
        <w:ind w:firstLine="420" w:firstLineChars="200"/>
      </w:pPr>
    </w:p>
    <w:tbl>
      <w:tblPr>
        <w:tblStyle w:val="24"/>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r>
              <w:rPr>
                <w:rFonts w:hAnsi="宋体" w:cs="宋体"/>
              </w:rPr>
              <w:t>法定代表人身份证明复印件</w:t>
            </w: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p>
            <w:pPr>
              <w:pStyle w:val="11"/>
              <w:adjustRightInd w:val="0"/>
              <w:snapToGrid w:val="0"/>
              <w:spacing w:line="360" w:lineRule="auto"/>
              <w:jc w:val="center"/>
              <w:rPr>
                <w:rFonts w:hint="eastAsia" w:hAnsi="宋体" w:cs="宋体"/>
              </w:rPr>
            </w:pPr>
          </w:p>
        </w:tc>
      </w:tr>
    </w:tbl>
    <w:p>
      <w:pPr>
        <w:topLinePunct/>
        <w:autoSpaceDE w:val="0"/>
        <w:autoSpaceDN w:val="0"/>
        <w:adjustRightInd w:val="0"/>
        <w:snapToGrid w:val="0"/>
        <w:spacing w:line="360" w:lineRule="auto"/>
        <w:jc w:val="left"/>
        <w:rPr>
          <w:rFonts w:eastAsia="仿宋_GB2312"/>
        </w:rPr>
      </w:pPr>
    </w:p>
    <w:p>
      <w:pPr>
        <w:topLinePunct/>
        <w:autoSpaceDE w:val="0"/>
        <w:autoSpaceDN w:val="0"/>
        <w:adjustRightInd w:val="0"/>
        <w:snapToGrid w:val="0"/>
        <w:spacing w:line="360" w:lineRule="auto"/>
        <w:jc w:val="left"/>
        <w:rPr>
          <w:rFonts w:hint="eastAsia" w:ascii="宋体" w:hAnsi="宋体" w:cs="宋体"/>
          <w:i/>
          <w:iCs/>
        </w:rPr>
      </w:pPr>
      <w:r>
        <w:rPr>
          <w:rFonts w:hint="eastAsia" w:ascii="宋体" w:hAnsi="宋体" w:cs="宋体"/>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投标人如由</w:t>
      </w:r>
      <w:r>
        <w:rPr>
          <w:rFonts w:hint="eastAsia" w:ascii="宋体" w:hAnsi="宋体" w:cs="宋体"/>
          <w:b/>
          <w:bCs/>
        </w:rPr>
        <w:t>法定代表人作为投标代表参与投标活动的，仅须提供法定代表人身份证复印件</w:t>
      </w:r>
      <w:r>
        <w:rPr>
          <w:rFonts w:hint="eastAsia" w:ascii="宋体" w:hAnsi="宋体" w:cs="宋体"/>
        </w:rPr>
        <w:t>。</w:t>
      </w:r>
    </w:p>
    <w:p>
      <w:pPr>
        <w:pStyle w:val="11"/>
        <w:ind w:firstLine="420" w:firstLineChars="200"/>
        <w:rPr>
          <w:rFonts w:ascii="Times New Roman" w:hAnsi="Times New Roman" w:eastAsia="仿宋_GB2312"/>
        </w:rPr>
      </w:pPr>
    </w:p>
    <w:p>
      <w:pPr>
        <w:widowControl/>
        <w:jc w:val="left"/>
        <w:rPr>
          <w:rFonts w:hint="eastAsia" w:ascii="宋体" w:hAnsi="宋体" w:cs="宋体"/>
          <w:b/>
          <w:bCs/>
          <w:sz w:val="36"/>
          <w:szCs w:val="36"/>
        </w:rPr>
      </w:pPr>
      <w:r>
        <w:rPr>
          <w:rFonts w:ascii="宋体" w:hAnsi="宋体" w:cs="宋体"/>
          <w:b/>
          <w:bCs/>
          <w:sz w:val="36"/>
          <w:szCs w:val="36"/>
        </w:rPr>
        <w:br w:type="page"/>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1-3自然人授权委托书</w:t>
      </w:r>
    </w:p>
    <w:p>
      <w:pPr>
        <w:adjustRightInd w:val="0"/>
        <w:snapToGrid w:val="0"/>
        <w:spacing w:line="360" w:lineRule="auto"/>
        <w:jc w:val="center"/>
        <w:rPr>
          <w:rFonts w:hint="eastAsia" w:ascii="宋体" w:hAnsi="宋体" w:cs="宋体"/>
          <w:szCs w:val="21"/>
        </w:rPr>
      </w:pPr>
      <w:r>
        <w:rPr>
          <w:rFonts w:ascii="宋体" w:hAnsi="宋体" w:cs="宋体"/>
          <w:szCs w:val="21"/>
        </w:rPr>
        <w:t>(</w:t>
      </w:r>
      <w:r>
        <w:rPr>
          <w:rFonts w:hint="eastAsia" w:ascii="宋体" w:hAnsi="宋体" w:cs="宋体"/>
          <w:szCs w:val="21"/>
        </w:rPr>
        <w:t>适用于自然人投标</w:t>
      </w:r>
      <w:r>
        <w:rPr>
          <w:rFonts w:ascii="宋体" w:hAnsi="宋体" w:cs="宋体"/>
          <w:szCs w:val="21"/>
        </w:rPr>
        <w:t>)</w:t>
      </w:r>
    </w:p>
    <w:p>
      <w:pPr>
        <w:pStyle w:val="11"/>
        <w:rPr>
          <w:rFonts w:ascii="Times New Roman" w:hAnsi="Times New Roman" w:eastAsia="仿宋_GB2312"/>
        </w:rPr>
      </w:pPr>
    </w:p>
    <w:p>
      <w:pPr>
        <w:spacing w:line="360" w:lineRule="auto"/>
      </w:pPr>
      <w:r>
        <w:t>致____________(采购人或采购代理机构)：</w:t>
      </w:r>
    </w:p>
    <w:p>
      <w:pPr>
        <w:spacing w:line="360" w:lineRule="auto"/>
        <w:ind w:firstLine="420" w:firstLineChars="200"/>
      </w:pPr>
      <w:r>
        <w:rPr>
          <w:rFonts w:hint="eastAsia"/>
        </w:rPr>
        <w:t>本授权书声明：</w:t>
      </w:r>
      <w:r>
        <w:t>我________(姓名</w:t>
      </w:r>
      <w:r>
        <w:rPr>
          <w:rFonts w:hint="eastAsia"/>
        </w:rPr>
        <w:t>、</w:t>
      </w:r>
      <w:r>
        <w:t>身份证号码)系自然人，现授权委托____________(姓名</w:t>
      </w:r>
      <w:r>
        <w:rPr>
          <w:rFonts w:hint="eastAsia"/>
        </w:rPr>
        <w:t>、</w:t>
      </w:r>
      <w:r>
        <w:t>身份证号码)以本人名义参加</w:t>
      </w:r>
      <w:r>
        <w:rPr>
          <w:rFonts w:hint="eastAsia"/>
        </w:rPr>
        <w:t>《          项目》（项目编号：    ）</w:t>
      </w:r>
      <w:r>
        <w:t>的投标活动，并代表本人全权办理针对上述项目的投</w:t>
      </w:r>
      <w:r>
        <w:rPr>
          <w:rFonts w:hint="eastAsia"/>
        </w:rPr>
        <w:t>标、签约等具体事务和签署相关文件。</w:t>
      </w:r>
    </w:p>
    <w:p>
      <w:pPr>
        <w:spacing w:line="360" w:lineRule="auto"/>
        <w:ind w:firstLine="420" w:firstLineChars="200"/>
      </w:pPr>
      <w:r>
        <w:rPr>
          <w:rFonts w:hint="eastAsia"/>
        </w:rPr>
        <w:t>本人对被授权人的签字事项负全部责任。</w:t>
      </w:r>
    </w:p>
    <w:p>
      <w:pPr>
        <w:spacing w:line="360" w:lineRule="auto"/>
        <w:ind w:firstLine="420" w:firstLineChars="200"/>
      </w:pPr>
      <w:r>
        <w:rPr>
          <w:rFonts w:hint="eastAsia"/>
        </w:rPr>
        <w:t>授权委托代理期限：从　　年　　月　　日起至　　年　　月　　日止。</w:t>
      </w:r>
    </w:p>
    <w:p>
      <w:pPr>
        <w:spacing w:line="360" w:lineRule="auto"/>
        <w:ind w:firstLine="420" w:firstLineChars="200"/>
      </w:pPr>
    </w:p>
    <w:p>
      <w:pPr>
        <w:spacing w:line="360" w:lineRule="auto"/>
        <w:ind w:firstLine="420" w:firstLineChars="200"/>
      </w:pPr>
      <w:r>
        <w:rPr>
          <w:rFonts w:hint="eastAsia"/>
        </w:rPr>
        <w:t>代理人无转委托权，特此委托。</w:t>
      </w:r>
    </w:p>
    <w:p>
      <w:pPr>
        <w:spacing w:line="360" w:lineRule="auto"/>
        <w:ind w:firstLine="420" w:firstLineChars="200"/>
      </w:pPr>
    </w:p>
    <w:p>
      <w:pPr>
        <w:spacing w:line="360" w:lineRule="auto"/>
        <w:ind w:firstLine="420" w:firstLineChars="200"/>
      </w:pPr>
      <w:r>
        <w:rPr>
          <w:rFonts w:hint="eastAsia"/>
        </w:rPr>
        <w:t>我已在下面签字，以资证明。</w:t>
      </w:r>
    </w:p>
    <w:p>
      <w:pPr>
        <w:spacing w:line="360" w:lineRule="auto"/>
        <w:ind w:firstLine="420" w:firstLineChars="200"/>
      </w:pPr>
    </w:p>
    <w:p>
      <w:pPr>
        <w:spacing w:line="360" w:lineRule="auto"/>
        <w:ind w:firstLine="420" w:firstLineChars="200"/>
      </w:pPr>
      <w:r>
        <w:rPr>
          <w:rFonts w:hint="eastAsia"/>
        </w:rPr>
        <w:t>自然人签字并在签名处加盖食指指印：　　　　年　　月　　日</w:t>
      </w:r>
    </w:p>
    <w:p>
      <w:pPr>
        <w:pStyle w:val="11"/>
        <w:spacing w:line="360" w:lineRule="auto"/>
        <w:ind w:firstLine="480" w:firstLineChars="200"/>
        <w:rPr>
          <w:rFonts w:hint="eastAsia" w:hAnsi="宋体"/>
          <w:sz w:val="24"/>
          <w:szCs w:val="24"/>
        </w:rPr>
      </w:pPr>
    </w:p>
    <w:p>
      <w:pPr>
        <w:topLinePunct/>
        <w:autoSpaceDE w:val="0"/>
        <w:autoSpaceDN w:val="0"/>
        <w:adjustRightInd w:val="0"/>
        <w:snapToGrid w:val="0"/>
        <w:spacing w:line="360" w:lineRule="auto"/>
        <w:jc w:val="left"/>
        <w:rPr>
          <w:rFonts w:hint="eastAsia" w:ascii="宋体" w:hAnsi="宋体" w:cs="宋体"/>
        </w:rPr>
      </w:pPr>
    </w:p>
    <w:p>
      <w:pPr>
        <w:topLinePunct/>
        <w:autoSpaceDE w:val="0"/>
        <w:autoSpaceDN w:val="0"/>
        <w:adjustRightInd w:val="0"/>
        <w:snapToGrid w:val="0"/>
        <w:spacing w:line="360" w:lineRule="auto"/>
        <w:jc w:val="left"/>
        <w:rPr>
          <w:rFonts w:hint="eastAsia" w:ascii="宋体" w:hAnsi="宋体" w:cs="宋体"/>
          <w:i/>
          <w:iCs/>
        </w:rPr>
      </w:pPr>
      <w:r>
        <w:rPr>
          <w:rFonts w:hint="eastAsia" w:ascii="宋体" w:hAnsi="宋体" w:cs="宋体"/>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投标人如由</w:t>
      </w:r>
      <w:r>
        <w:rPr>
          <w:rFonts w:hint="eastAsia" w:ascii="宋体" w:hAnsi="宋体" w:cs="宋体"/>
          <w:b/>
          <w:bCs/>
        </w:rPr>
        <w:t>被授权人参与投标活动的，</w:t>
      </w:r>
      <w:r>
        <w:rPr>
          <w:rFonts w:hint="eastAsia" w:ascii="宋体" w:hAnsi="宋体" w:cs="宋体"/>
        </w:rPr>
        <w:t>须提供《自然人授权委托书》，《自然人授权委托书》应当按本格式要求签字并由自然人在签名处加盖食指指印</w:t>
      </w:r>
      <w:r>
        <w:rPr>
          <w:rFonts w:hint="eastAsia" w:ascii="宋体" w:hAnsi="宋体" w:cs="宋体"/>
          <w:szCs w:val="21"/>
        </w:rPr>
        <w:t>。</w:t>
      </w:r>
    </w:p>
    <w:p>
      <w:pPr>
        <w:pStyle w:val="11"/>
        <w:spacing w:line="360" w:lineRule="auto"/>
        <w:ind w:firstLine="480" w:firstLineChars="200"/>
        <w:rPr>
          <w:rFonts w:hint="eastAsia" w:hAnsi="宋体"/>
          <w:sz w:val="24"/>
          <w:szCs w:val="24"/>
        </w:rPr>
      </w:pPr>
    </w:p>
    <w:p>
      <w:pPr>
        <w:pStyle w:val="11"/>
        <w:ind w:firstLine="420" w:firstLineChars="200"/>
        <w:rPr>
          <w:rFonts w:hint="eastAsia" w:hAnsi="宋体" w:cs="宋体"/>
          <w:b/>
          <w:bCs/>
          <w:sz w:val="36"/>
          <w:szCs w:val="36"/>
        </w:rPr>
      </w:pPr>
      <w:r>
        <w:rPr>
          <w:rFonts w:ascii="Times New Roman" w:hAnsi="Times New Roman" w:eastAsia="仿宋_GB2312"/>
        </w:rPr>
        <w:br w:type="page"/>
      </w:r>
    </w:p>
    <w:p>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格式2  投标函</w:t>
      </w:r>
    </w:p>
    <w:p>
      <w:pPr>
        <w:spacing w:line="360" w:lineRule="auto"/>
      </w:pPr>
      <w:r>
        <w:rPr>
          <w:rFonts w:hint="eastAsia"/>
        </w:rPr>
        <w:t>致________（采购人或采购代理机构）：</w:t>
      </w:r>
    </w:p>
    <w:p>
      <w:pPr>
        <w:spacing w:line="360" w:lineRule="auto"/>
        <w:ind w:firstLine="420" w:firstLineChars="200"/>
      </w:pPr>
      <w:r>
        <w:rPr>
          <w:rFonts w:hint="eastAsia"/>
        </w:rPr>
        <w:t>根据______（项目名称）（项目编号：______）的招标公告，______（姓名、职务）代表投标人______（投标人名称、地址）参加项目招标的有关活动。据此函，作如下承诺：</w:t>
      </w:r>
    </w:p>
    <w:p>
      <w:pPr>
        <w:spacing w:line="360" w:lineRule="auto"/>
        <w:ind w:firstLine="420" w:firstLineChars="200"/>
      </w:pPr>
      <w:r>
        <w:rPr>
          <w:rFonts w:hint="eastAsia"/>
        </w:rPr>
        <w:t>1.同意在本项目招标文件中规定的开标日起</w:t>
      </w:r>
      <w:r>
        <w:rPr>
          <w:rFonts w:hint="eastAsia"/>
          <w:u w:val="single"/>
        </w:rPr>
        <w:t>90天</w:t>
      </w:r>
      <w:r>
        <w:rPr>
          <w:rFonts w:hint="eastAsia"/>
        </w:rPr>
        <w:t>遵守本投标文件中的承诺，且在期满之前均具有约束力。</w:t>
      </w:r>
    </w:p>
    <w:p>
      <w:pPr>
        <w:spacing w:line="360" w:lineRule="auto"/>
        <w:ind w:firstLine="420" w:firstLineChars="200"/>
      </w:pPr>
      <w:r>
        <w:rPr>
          <w:rFonts w:hint="eastAsia"/>
        </w:rPr>
        <w:t>2.具备政府采购相关法律法规规定的参加政府采购活动的供应商应当具备的条件：</w:t>
      </w:r>
    </w:p>
    <w:p>
      <w:pPr>
        <w:spacing w:line="360" w:lineRule="auto"/>
        <w:ind w:firstLine="420" w:firstLineChars="200"/>
      </w:pPr>
      <w:r>
        <w:rPr>
          <w:rFonts w:hint="eastAsia"/>
        </w:rPr>
        <w:t>（1）具有独立承担民事责任的能力；</w:t>
      </w:r>
    </w:p>
    <w:p>
      <w:pPr>
        <w:spacing w:line="360" w:lineRule="auto"/>
        <w:ind w:firstLine="420" w:firstLineChars="200"/>
      </w:pPr>
      <w:r>
        <w:rPr>
          <w:rFonts w:hint="eastAsia"/>
        </w:rPr>
        <w:t>（2）具有良好的商业信誉和健全的财务会计制度；</w:t>
      </w:r>
    </w:p>
    <w:p>
      <w:pPr>
        <w:spacing w:line="360" w:lineRule="auto"/>
        <w:ind w:firstLine="420" w:firstLineChars="200"/>
      </w:pPr>
      <w:r>
        <w:rPr>
          <w:rFonts w:hint="eastAsia"/>
        </w:rPr>
        <w:t>（3）具有履行合同所必需的设备和专业技术能力；</w:t>
      </w:r>
    </w:p>
    <w:p>
      <w:pPr>
        <w:spacing w:line="360" w:lineRule="auto"/>
        <w:ind w:firstLine="420" w:firstLineChars="200"/>
      </w:pPr>
      <w:r>
        <w:rPr>
          <w:rFonts w:hint="eastAsia"/>
        </w:rPr>
        <w:t>（4）有依法缴纳税收和社会保障资金的良好记录；</w:t>
      </w:r>
    </w:p>
    <w:p>
      <w:pPr>
        <w:spacing w:line="360" w:lineRule="auto"/>
        <w:ind w:firstLine="420" w:firstLineChars="200"/>
      </w:pPr>
      <w:r>
        <w:rPr>
          <w:rFonts w:hint="eastAsia"/>
        </w:rPr>
        <w:t>（5）参加此项采购活动前三年内，在经营活动中没有重大违法记录。</w:t>
      </w:r>
    </w:p>
    <w:p>
      <w:pPr>
        <w:spacing w:line="360" w:lineRule="auto"/>
        <w:ind w:firstLine="420" w:firstLineChars="200"/>
      </w:pPr>
      <w:r>
        <w:rPr>
          <w:rFonts w:hint="eastAsia"/>
        </w:rPr>
        <w:t xml:space="preserve">（6）法律、行政法规规定的其他条件。 </w:t>
      </w:r>
    </w:p>
    <w:p>
      <w:pPr>
        <w:spacing w:line="360" w:lineRule="auto"/>
        <w:ind w:firstLine="420" w:firstLineChars="200"/>
      </w:pPr>
      <w:r>
        <w:rPr>
          <w:rFonts w:hint="eastAsia"/>
        </w:rPr>
        <w:t>3.具备本项目招标文件中规定的其他要求和资质条件。</w:t>
      </w:r>
    </w:p>
    <w:p>
      <w:pPr>
        <w:spacing w:line="360" w:lineRule="auto"/>
        <w:ind w:firstLine="420" w:firstLineChars="200"/>
      </w:pPr>
      <w:r>
        <w:rPr>
          <w:rFonts w:hint="eastAsia"/>
        </w:rPr>
        <w:t>4.提供投标人须知规定的全部投标文件。</w:t>
      </w:r>
    </w:p>
    <w:p>
      <w:pPr>
        <w:spacing w:line="360" w:lineRule="auto"/>
        <w:ind w:firstLine="420" w:firstLineChars="200"/>
      </w:pPr>
      <w:r>
        <w:rPr>
          <w:rFonts w:hint="eastAsia"/>
        </w:rPr>
        <w:t>5.已详细审阅全部招标文件（包括招标文件澄清函），理解投标人须知的所有条款。</w:t>
      </w:r>
    </w:p>
    <w:p>
      <w:pPr>
        <w:spacing w:line="360" w:lineRule="auto"/>
        <w:ind w:firstLine="420" w:firstLineChars="200"/>
      </w:pPr>
      <w:r>
        <w:rPr>
          <w:rFonts w:hint="eastAsia"/>
        </w:rPr>
        <w:t>6.完全理解贵方“最低报价不能作为中标的保证”的规定。</w:t>
      </w:r>
    </w:p>
    <w:p>
      <w:pPr>
        <w:spacing w:line="360" w:lineRule="auto"/>
        <w:ind w:firstLine="420" w:firstLineChars="200"/>
      </w:pPr>
      <w:r>
        <w:rPr>
          <w:rFonts w:hint="eastAsia"/>
        </w:rPr>
        <w:t>7.接受招标文件中全部合同条款，且无任何异议；保证忠实地执行双方所签订的合同，并承担合同规定的责任和义务。</w:t>
      </w:r>
    </w:p>
    <w:p>
      <w:pPr>
        <w:spacing w:line="360" w:lineRule="auto"/>
        <w:ind w:firstLine="420" w:firstLineChars="200"/>
      </w:pPr>
      <w:r>
        <w:rPr>
          <w:rFonts w:hint="eastAsia"/>
        </w:rPr>
        <w:t>8.完全满足和响应招标文件中的各项商务和技术要求，若有偏差，已在投标文件中明确说明。</w:t>
      </w:r>
    </w:p>
    <w:p>
      <w:pPr>
        <w:spacing w:line="360" w:lineRule="auto"/>
        <w:ind w:firstLine="420" w:firstLineChars="200"/>
      </w:pPr>
      <w:r>
        <w:rPr>
          <w:rFonts w:hint="eastAsia"/>
        </w:rPr>
        <w:t>9.愿意提供任何与投标有关的数据、情况和技术资料等。若贵方需要，愿意提供一切证明材料。</w:t>
      </w:r>
    </w:p>
    <w:p>
      <w:pPr>
        <w:spacing w:line="360" w:lineRule="auto"/>
        <w:ind w:firstLine="420" w:firstLineChars="200"/>
      </w:pPr>
      <w:r>
        <w:rPr>
          <w:rFonts w:hint="eastAsia"/>
        </w:rPr>
        <w:t>10.我方已详细审核全部投标文件、参考资料及有关附件，确认无误。</w:t>
      </w:r>
    </w:p>
    <w:p>
      <w:pPr>
        <w:spacing w:line="360" w:lineRule="auto"/>
        <w:ind w:firstLine="420" w:firstLineChars="200"/>
      </w:pPr>
      <w:r>
        <w:rPr>
          <w:rFonts w:hint="eastAsia"/>
        </w:rPr>
        <w:t>11.对本次招标内容及与本项目有关的知识产权、技术资料、商业秘密及相关信息保密。</w:t>
      </w:r>
    </w:p>
    <w:p>
      <w:pPr>
        <w:spacing w:line="360" w:lineRule="auto"/>
        <w:ind w:firstLine="420" w:firstLineChars="200"/>
      </w:pPr>
      <w:r>
        <w:rPr>
          <w:rFonts w:hint="eastAsia"/>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spacing w:line="360" w:lineRule="auto"/>
        <w:ind w:firstLine="420" w:firstLineChars="200"/>
      </w:pPr>
    </w:p>
    <w:p>
      <w:pPr>
        <w:spacing w:line="360" w:lineRule="auto"/>
        <w:ind w:firstLine="420" w:firstLineChars="200"/>
      </w:pPr>
      <w:r>
        <w:rPr>
          <w:rFonts w:hint="eastAsia"/>
        </w:rPr>
        <w:t>投标人名称（公章）：____________</w:t>
      </w:r>
    </w:p>
    <w:p>
      <w:pPr>
        <w:spacing w:line="360" w:lineRule="auto"/>
        <w:ind w:firstLine="420" w:firstLineChars="200"/>
      </w:pPr>
      <w:r>
        <w:rPr>
          <w:rFonts w:hint="eastAsia"/>
        </w:rPr>
        <w:t>法定代表人（签字或签章）/被授权投标代表（签字）：____________</w:t>
      </w:r>
    </w:p>
    <w:p>
      <w:pPr>
        <w:spacing w:line="360" w:lineRule="auto"/>
        <w:ind w:firstLine="420" w:firstLineChars="200"/>
      </w:pPr>
      <w:r>
        <w:rPr>
          <w:rFonts w:hint="eastAsia"/>
        </w:rPr>
        <w:t>投标人地址：____________</w:t>
      </w:r>
    </w:p>
    <w:p>
      <w:pPr>
        <w:spacing w:line="360" w:lineRule="auto"/>
        <w:ind w:firstLine="420" w:firstLineChars="200"/>
      </w:pPr>
      <w:r>
        <w:rPr>
          <w:rFonts w:hint="eastAsia"/>
        </w:rPr>
        <w:t>邮编：____________</w:t>
      </w:r>
    </w:p>
    <w:p>
      <w:pPr>
        <w:spacing w:line="360" w:lineRule="auto"/>
        <w:ind w:firstLine="420" w:firstLineChars="200"/>
      </w:pPr>
      <w:r>
        <w:rPr>
          <w:rFonts w:hint="eastAsia"/>
        </w:rPr>
        <w:t>电话：____________</w:t>
      </w:r>
    </w:p>
    <w:p>
      <w:pPr>
        <w:spacing w:line="360" w:lineRule="auto"/>
        <w:ind w:firstLine="420" w:firstLineChars="200"/>
      </w:pPr>
      <w:r>
        <w:rPr>
          <w:rFonts w:hint="eastAsia"/>
        </w:rPr>
        <w:t>传真：____________</w:t>
      </w:r>
    </w:p>
    <w:p>
      <w:pPr>
        <w:spacing w:line="360" w:lineRule="auto"/>
        <w:ind w:firstLine="420" w:firstLineChars="200"/>
      </w:pPr>
      <w:r>
        <w:rPr>
          <w:rFonts w:hint="eastAsia"/>
        </w:rPr>
        <w:t xml:space="preserve">日  期：____________          </w:t>
      </w:r>
    </w:p>
    <w:p>
      <w:pPr>
        <w:spacing w:line="360" w:lineRule="auto"/>
        <w:ind w:firstLine="420" w:firstLineChars="200"/>
      </w:pPr>
    </w:p>
    <w:p>
      <w:pPr>
        <w:ind w:firstLine="480" w:firstLineChars="200"/>
        <w:rPr>
          <w:rFonts w:hAnsi="宋体" w:eastAsia="Times New Roman" w:cs="宋体"/>
          <w:sz w:val="24"/>
        </w:rPr>
      </w:pPr>
    </w:p>
    <w:p>
      <w:pPr>
        <w:adjustRightInd w:val="0"/>
        <w:snapToGrid w:val="0"/>
        <w:spacing w:line="360" w:lineRule="auto"/>
        <w:rPr>
          <w:rFonts w:hint="eastAsia" w:ascii="宋体" w:hAnsi="宋体" w:cs="宋体"/>
        </w:rPr>
      </w:pPr>
      <w:r>
        <w:rPr>
          <w:rFonts w:hint="eastAsia" w:ascii="宋体" w:hAnsi="宋体" w:cs="宋体"/>
        </w:rPr>
        <w:t>特别说明：</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投标人应当按上述格式要求加盖与投标人名称全称一致的标准公章，并签署法定代表人或</w:t>
      </w:r>
      <w:r>
        <w:rPr>
          <w:rFonts w:hint="eastAsia" w:ascii="宋体" w:hAnsi="宋体" w:cs="宋体"/>
          <w:bCs/>
          <w:szCs w:val="21"/>
        </w:rPr>
        <w:t>被授权投标代表</w:t>
      </w:r>
      <w:r>
        <w:rPr>
          <w:rFonts w:hint="eastAsia" w:ascii="宋体" w:hAnsi="宋体" w:cs="宋体"/>
          <w:szCs w:val="21"/>
        </w:rPr>
        <w:t>的全名或加盖名章。</w:t>
      </w:r>
    </w:p>
    <w:p>
      <w:pPr>
        <w:adjustRightInd w:val="0"/>
        <w:snapToGrid w:val="0"/>
        <w:spacing w:line="360" w:lineRule="auto"/>
        <w:jc w:val="center"/>
        <w:rPr>
          <w:rFonts w:ascii="Times New Roman" w:hAnsi="Times New Roman"/>
          <w:b/>
          <w:bCs/>
          <w:sz w:val="28"/>
          <w:szCs w:val="28"/>
        </w:rPr>
      </w:pPr>
      <w:r>
        <w:rPr>
          <w:rFonts w:hint="eastAsia" w:hAnsi="宋体" w:cs="宋体"/>
          <w:b/>
          <w:bCs/>
          <w:sz w:val="28"/>
          <w:szCs w:val="28"/>
        </w:rPr>
        <w:br w:type="page"/>
      </w:r>
      <w:bookmarkStart w:id="55" w:name="_Toc18153"/>
      <w:bookmarkStart w:id="56" w:name="_Toc8860"/>
      <w:r>
        <w:rPr>
          <w:rFonts w:ascii="Times New Roman" w:hAnsi="Times New Roman"/>
          <w:b/>
          <w:bCs/>
          <w:sz w:val="28"/>
          <w:szCs w:val="28"/>
        </w:rPr>
        <w:t>格式3  投标报价表</w:t>
      </w:r>
    </w:p>
    <w:bookmarkEnd w:id="55"/>
    <w:bookmarkEnd w:id="56"/>
    <w:p>
      <w:pPr>
        <w:tabs>
          <w:tab w:val="left" w:pos="1230"/>
        </w:tabs>
        <w:topLinePunct/>
        <w:autoSpaceDE w:val="0"/>
        <w:autoSpaceDN w:val="0"/>
        <w:adjustRightInd w:val="0"/>
        <w:snapToGrid w:val="0"/>
        <w:spacing w:line="360" w:lineRule="auto"/>
        <w:ind w:firstLine="562" w:firstLineChars="200"/>
        <w:jc w:val="center"/>
        <w:rPr>
          <w:rFonts w:hint="eastAsia" w:ascii="宋体" w:hAnsi="宋体" w:cs="宋体"/>
          <w:b/>
          <w:bCs/>
          <w:sz w:val="28"/>
          <w:szCs w:val="28"/>
        </w:rPr>
      </w:pPr>
      <w:r>
        <w:rPr>
          <w:rFonts w:hint="eastAsia" w:ascii="宋体" w:hAnsi="宋体" w:cs="宋体"/>
          <w:b/>
          <w:bCs/>
          <w:sz w:val="28"/>
          <w:szCs w:val="28"/>
        </w:rPr>
        <w:t>1.开标一览表（总报价表）</w:t>
      </w:r>
    </w:p>
    <w:p>
      <w:pPr>
        <w:pStyle w:val="11"/>
        <w:topLinePunct/>
        <w:autoSpaceDE w:val="0"/>
        <w:autoSpaceDN w:val="0"/>
        <w:adjustRightInd w:val="0"/>
        <w:snapToGrid w:val="0"/>
        <w:spacing w:line="360" w:lineRule="auto"/>
        <w:ind w:left="2"/>
        <w:jc w:val="center"/>
        <w:rPr>
          <w:rFonts w:hint="eastAsia" w:hAnsi="宋体" w:cs="宋体"/>
        </w:rPr>
      </w:pPr>
      <w:r>
        <w:rPr>
          <w:rFonts w:hint="eastAsia" w:hAnsi="宋体" w:cs="宋体"/>
        </w:rPr>
        <w:t>(服务类项目适用)</w:t>
      </w:r>
    </w:p>
    <w:p>
      <w:pPr>
        <w:topLinePunct/>
        <w:autoSpaceDE w:val="0"/>
        <w:autoSpaceDN w:val="0"/>
        <w:adjustRightInd w:val="0"/>
        <w:snapToGrid w:val="0"/>
        <w:spacing w:line="360" w:lineRule="auto"/>
        <w:jc w:val="left"/>
        <w:rPr>
          <w:rFonts w:hint="eastAsia" w:ascii="宋体" w:hAnsi="宋体" w:cs="宋体"/>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w:t>
      </w:r>
    </w:p>
    <w:p>
      <w:pPr>
        <w:adjustRightInd w:val="0"/>
        <w:snapToGrid w:val="0"/>
        <w:spacing w:line="360" w:lineRule="auto"/>
        <w:ind w:right="840"/>
        <w:rPr>
          <w:rFonts w:hint="eastAsia" w:ascii="宋体" w:hAnsi="宋体" w:cs="宋体"/>
        </w:rPr>
      </w:pPr>
      <w:r>
        <w:rPr>
          <w:rFonts w:hint="eastAsia" w:ascii="宋体" w:hAnsi="宋体" w:cs="宋体"/>
        </w:rPr>
        <w:t>采购包号：</w:t>
      </w:r>
      <w:r>
        <w:rPr>
          <w:rFonts w:hint="eastAsia" w:ascii="宋体" w:hAnsi="宋体" w:cs="宋体"/>
          <w:u w:val="single"/>
        </w:rPr>
        <w:t xml:space="preserve">         </w:t>
      </w:r>
      <w:r>
        <w:rPr>
          <w:rFonts w:hint="eastAsia" w:ascii="宋体" w:hAnsi="宋体" w:cs="宋体"/>
        </w:rPr>
        <w:t xml:space="preserve">                                   价格单位：人民币 元</w:t>
      </w:r>
    </w:p>
    <w:tbl>
      <w:tblPr>
        <w:tblStyle w:val="2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78"/>
        <w:gridCol w:w="1467"/>
        <w:gridCol w:w="1531"/>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trPr>
        <w:tc>
          <w:tcPr>
            <w:tcW w:w="421" w:type="pct"/>
            <w:vAlign w:val="center"/>
          </w:tcPr>
          <w:p>
            <w:pPr>
              <w:snapToGrid w:val="0"/>
              <w:jc w:val="center"/>
              <w:rPr>
                <w:rFonts w:hint="eastAsia" w:ascii="宋体" w:hAnsi="宋体" w:cs="宋体"/>
                <w:b/>
                <w:bCs/>
                <w:szCs w:val="21"/>
              </w:rPr>
            </w:pPr>
            <w:r>
              <w:rPr>
                <w:rFonts w:hint="eastAsia" w:ascii="宋体" w:hAnsi="宋体" w:cs="宋体"/>
                <w:b/>
                <w:bCs/>
                <w:szCs w:val="21"/>
              </w:rPr>
              <w:t>采购包</w:t>
            </w:r>
          </w:p>
        </w:tc>
        <w:tc>
          <w:tcPr>
            <w:tcW w:w="1033" w:type="pct"/>
            <w:vAlign w:val="center"/>
          </w:tcPr>
          <w:p>
            <w:pPr>
              <w:snapToGrid w:val="0"/>
              <w:jc w:val="center"/>
              <w:rPr>
                <w:rFonts w:hint="eastAsia" w:ascii="宋体" w:hAnsi="宋体" w:cs="宋体"/>
                <w:b/>
                <w:bCs/>
                <w:szCs w:val="21"/>
              </w:rPr>
            </w:pPr>
            <w:r>
              <w:rPr>
                <w:rFonts w:hint="eastAsia" w:ascii="宋体" w:hAnsi="宋体" w:cs="宋体"/>
                <w:b/>
                <w:bCs/>
                <w:szCs w:val="21"/>
              </w:rPr>
              <w:t>标的名称</w:t>
            </w:r>
          </w:p>
        </w:tc>
        <w:tc>
          <w:tcPr>
            <w:tcW w:w="852" w:type="pct"/>
            <w:vAlign w:val="center"/>
          </w:tcPr>
          <w:p>
            <w:pPr>
              <w:snapToGrid w:val="0"/>
              <w:jc w:val="center"/>
              <w:rPr>
                <w:rFonts w:hint="eastAsia" w:ascii="宋体" w:hAnsi="宋体" w:cs="宋体"/>
                <w:b/>
                <w:bCs/>
                <w:szCs w:val="21"/>
              </w:rPr>
            </w:pPr>
            <w:r>
              <w:rPr>
                <w:rFonts w:hint="eastAsia" w:ascii="宋体" w:hAnsi="宋体" w:cs="宋体"/>
                <w:b/>
                <w:bCs/>
                <w:szCs w:val="21"/>
              </w:rPr>
              <w:t>服务期</w:t>
            </w:r>
          </w:p>
        </w:tc>
        <w:tc>
          <w:tcPr>
            <w:tcW w:w="889" w:type="pct"/>
            <w:vAlign w:val="center"/>
          </w:tcPr>
          <w:p>
            <w:pPr>
              <w:snapToGrid w:val="0"/>
              <w:jc w:val="center"/>
              <w:rPr>
                <w:rFonts w:hint="eastAsia" w:ascii="宋体" w:hAnsi="宋体" w:cs="宋体"/>
                <w:b/>
                <w:bCs/>
                <w:szCs w:val="21"/>
              </w:rPr>
            </w:pPr>
            <w:r>
              <w:rPr>
                <w:rFonts w:hint="eastAsia" w:ascii="宋体" w:hAnsi="宋体" w:cs="宋体"/>
                <w:b/>
                <w:bCs/>
                <w:szCs w:val="21"/>
              </w:rPr>
              <w:t>最高限价（元）</w:t>
            </w:r>
          </w:p>
        </w:tc>
        <w:tc>
          <w:tcPr>
            <w:tcW w:w="1801" w:type="pct"/>
            <w:vAlign w:val="center"/>
          </w:tcPr>
          <w:p>
            <w:pPr>
              <w:snapToGrid w:val="0"/>
              <w:jc w:val="center"/>
              <w:rPr>
                <w:rFonts w:hint="eastAsia" w:ascii="宋体" w:hAnsi="宋体" w:cs="宋体"/>
                <w:b/>
                <w:bCs/>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trPr>
        <w:tc>
          <w:tcPr>
            <w:tcW w:w="421" w:type="pct"/>
            <w:vAlign w:val="center"/>
          </w:tcPr>
          <w:p>
            <w:pPr>
              <w:snapToGrid w:val="0"/>
              <w:jc w:val="center"/>
              <w:rPr>
                <w:rFonts w:hint="eastAsia" w:ascii="宋体" w:hAnsi="宋体" w:cs="宋体"/>
                <w:szCs w:val="21"/>
              </w:rPr>
            </w:pPr>
            <w:r>
              <w:rPr>
                <w:rFonts w:hint="eastAsia" w:ascii="宋体" w:hAnsi="宋体" w:cs="宋体"/>
                <w:szCs w:val="21"/>
              </w:rPr>
              <w:t>1</w:t>
            </w:r>
          </w:p>
        </w:tc>
        <w:tc>
          <w:tcPr>
            <w:tcW w:w="1033"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税务区块链基础平台部署实施和上下链接口服务</w:t>
            </w:r>
          </w:p>
        </w:tc>
        <w:tc>
          <w:tcPr>
            <w:tcW w:w="852"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889"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1173100.00</w:t>
            </w:r>
          </w:p>
        </w:tc>
        <w:tc>
          <w:tcPr>
            <w:tcW w:w="1801" w:type="pct"/>
            <w:vAlign w:val="center"/>
          </w:tcPr>
          <w:p>
            <w:pPr>
              <w:pStyle w:val="8"/>
              <w:spacing w:line="400" w:lineRule="exact"/>
              <w:jc w:val="left"/>
            </w:pPr>
          </w:p>
          <w:p>
            <w:pPr>
              <w:pStyle w:val="8"/>
              <w:spacing w:line="400" w:lineRule="exact"/>
              <w:jc w:val="left"/>
              <w:rPr>
                <w:b w:val="0"/>
                <w:bCs/>
              </w:rPr>
            </w:pPr>
            <w:r>
              <w:rPr>
                <w:rFonts w:hint="eastAsia"/>
                <w:b w:val="0"/>
                <w:bCs/>
              </w:rPr>
              <w:t>小写：</w:t>
            </w:r>
          </w:p>
          <w:p>
            <w:pPr>
              <w:rPr>
                <w:bCs/>
              </w:rPr>
            </w:pPr>
          </w:p>
          <w:p>
            <w:pPr>
              <w:pStyle w:val="8"/>
              <w:spacing w:line="400" w:lineRule="exact"/>
              <w:jc w:val="left"/>
            </w:pPr>
            <w:r>
              <w:rPr>
                <w:rFonts w:hint="eastAsia"/>
                <w:b w:val="0"/>
                <w:bCs/>
              </w:rPr>
              <w:t>大写：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trPr>
        <w:tc>
          <w:tcPr>
            <w:tcW w:w="421" w:type="pct"/>
            <w:vAlign w:val="center"/>
          </w:tcPr>
          <w:p>
            <w:pPr>
              <w:snapToGrid w:val="0"/>
              <w:jc w:val="center"/>
              <w:rPr>
                <w:rFonts w:hint="eastAsia" w:ascii="宋体" w:hAnsi="宋体" w:cs="宋体"/>
                <w:szCs w:val="21"/>
              </w:rPr>
            </w:pPr>
            <w:r>
              <w:rPr>
                <w:rFonts w:hint="eastAsia" w:ascii="宋体" w:hAnsi="宋体" w:cs="宋体"/>
                <w:szCs w:val="21"/>
              </w:rPr>
              <w:t>2</w:t>
            </w:r>
          </w:p>
        </w:tc>
        <w:tc>
          <w:tcPr>
            <w:tcW w:w="1033"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社保费管理子系统及对账平台上下链、权益实时到账服务</w:t>
            </w:r>
          </w:p>
        </w:tc>
        <w:tc>
          <w:tcPr>
            <w:tcW w:w="852"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889"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1034100.00</w:t>
            </w:r>
          </w:p>
        </w:tc>
        <w:tc>
          <w:tcPr>
            <w:tcW w:w="1801" w:type="pct"/>
            <w:vAlign w:val="center"/>
          </w:tcPr>
          <w:p>
            <w:pPr>
              <w:pStyle w:val="8"/>
              <w:spacing w:line="400" w:lineRule="exact"/>
              <w:jc w:val="left"/>
              <w:rPr>
                <w:b w:val="0"/>
                <w:bCs/>
              </w:rPr>
            </w:pPr>
            <w:r>
              <w:rPr>
                <w:rFonts w:hint="eastAsia"/>
                <w:b w:val="0"/>
                <w:bCs/>
              </w:rPr>
              <w:t>小写：</w:t>
            </w:r>
          </w:p>
          <w:p>
            <w:pPr>
              <w:rPr>
                <w:bCs/>
              </w:rPr>
            </w:pPr>
          </w:p>
          <w:p>
            <w:pPr>
              <w:pStyle w:val="8"/>
              <w:spacing w:line="400" w:lineRule="exact"/>
              <w:rPr>
                <w:rFonts w:hint="eastAsia" w:ascii="宋体" w:hAnsi="宋体" w:cs="宋体"/>
                <w:b w:val="0"/>
                <w:bCs/>
                <w:szCs w:val="21"/>
              </w:rPr>
            </w:pPr>
            <w:r>
              <w:rPr>
                <w:rFonts w:hint="eastAsia"/>
                <w:b w:val="0"/>
                <w:bCs/>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421" w:type="pct"/>
            <w:vAlign w:val="center"/>
          </w:tcPr>
          <w:p>
            <w:pPr>
              <w:snapToGrid w:val="0"/>
              <w:jc w:val="center"/>
              <w:rPr>
                <w:rFonts w:hint="eastAsia" w:ascii="宋体" w:hAnsi="宋体" w:cs="宋体"/>
                <w:szCs w:val="21"/>
              </w:rPr>
            </w:pPr>
            <w:r>
              <w:rPr>
                <w:rFonts w:hint="eastAsia" w:ascii="宋体" w:hAnsi="宋体" w:cs="宋体"/>
                <w:szCs w:val="21"/>
              </w:rPr>
              <w:t>3</w:t>
            </w:r>
          </w:p>
        </w:tc>
        <w:tc>
          <w:tcPr>
            <w:tcW w:w="1033"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社保费征收子系统上下链服务</w:t>
            </w:r>
          </w:p>
        </w:tc>
        <w:tc>
          <w:tcPr>
            <w:tcW w:w="852"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889"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106600.00</w:t>
            </w:r>
          </w:p>
        </w:tc>
        <w:tc>
          <w:tcPr>
            <w:tcW w:w="1801" w:type="pct"/>
            <w:vAlign w:val="center"/>
          </w:tcPr>
          <w:p>
            <w:pPr>
              <w:pStyle w:val="8"/>
              <w:spacing w:line="400" w:lineRule="exact"/>
              <w:jc w:val="left"/>
            </w:pPr>
          </w:p>
          <w:p>
            <w:pPr>
              <w:pStyle w:val="8"/>
              <w:spacing w:line="400" w:lineRule="exact"/>
              <w:jc w:val="left"/>
              <w:rPr>
                <w:b w:val="0"/>
                <w:bCs/>
              </w:rPr>
            </w:pPr>
            <w:r>
              <w:rPr>
                <w:rFonts w:hint="eastAsia"/>
                <w:b w:val="0"/>
                <w:bCs/>
              </w:rPr>
              <w:t>小写：</w:t>
            </w:r>
          </w:p>
          <w:p>
            <w:pPr>
              <w:rPr>
                <w:bCs/>
              </w:rPr>
            </w:pPr>
          </w:p>
          <w:p>
            <w:pPr>
              <w:pStyle w:val="8"/>
              <w:spacing w:line="400" w:lineRule="exact"/>
              <w:rPr>
                <w:b w:val="0"/>
                <w:bCs/>
              </w:rPr>
            </w:pPr>
            <w:r>
              <w:rPr>
                <w:rFonts w:hint="eastAsia"/>
                <w:b w:val="0"/>
                <w:bCs/>
              </w:rPr>
              <w:t>大写：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421" w:type="pct"/>
            <w:vAlign w:val="center"/>
          </w:tcPr>
          <w:p>
            <w:pPr>
              <w:snapToGrid w:val="0"/>
              <w:jc w:val="center"/>
              <w:rPr>
                <w:rFonts w:hint="eastAsia" w:ascii="宋体" w:hAnsi="宋体" w:cs="宋体"/>
                <w:szCs w:val="21"/>
              </w:rPr>
            </w:pPr>
            <w:r>
              <w:rPr>
                <w:rFonts w:hint="eastAsia" w:ascii="宋体" w:hAnsi="宋体" w:cs="宋体"/>
                <w:szCs w:val="21"/>
              </w:rPr>
              <w:t>4</w:t>
            </w:r>
          </w:p>
        </w:tc>
        <w:tc>
          <w:tcPr>
            <w:tcW w:w="1033"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闽费通非税相关功能改造及上下链服务</w:t>
            </w:r>
          </w:p>
        </w:tc>
        <w:tc>
          <w:tcPr>
            <w:tcW w:w="852"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合同生效之日起至维保期届满</w:t>
            </w:r>
          </w:p>
        </w:tc>
        <w:tc>
          <w:tcPr>
            <w:tcW w:w="889" w:type="pct"/>
            <w:vAlign w:val="center"/>
          </w:tcPr>
          <w:p>
            <w:pPr>
              <w:pStyle w:val="8"/>
              <w:spacing w:line="400" w:lineRule="exact"/>
              <w:jc w:val="center"/>
              <w:rPr>
                <w:rFonts w:hint="eastAsia" w:ascii="宋体" w:hAnsi="宋体" w:cs="宋体"/>
                <w:b w:val="0"/>
                <w:bCs/>
                <w:szCs w:val="21"/>
              </w:rPr>
            </w:pPr>
            <w:r>
              <w:rPr>
                <w:rFonts w:hint="eastAsia" w:ascii="宋体" w:hAnsi="宋体" w:cs="宋体"/>
                <w:b w:val="0"/>
                <w:bCs/>
                <w:szCs w:val="21"/>
              </w:rPr>
              <w:t>384500.00</w:t>
            </w:r>
          </w:p>
        </w:tc>
        <w:tc>
          <w:tcPr>
            <w:tcW w:w="1801" w:type="pct"/>
            <w:vAlign w:val="center"/>
          </w:tcPr>
          <w:p>
            <w:pPr>
              <w:pStyle w:val="8"/>
              <w:spacing w:line="400" w:lineRule="exact"/>
              <w:jc w:val="left"/>
              <w:rPr>
                <w:b w:val="0"/>
                <w:bCs/>
              </w:rPr>
            </w:pPr>
          </w:p>
          <w:p>
            <w:pPr>
              <w:pStyle w:val="8"/>
              <w:spacing w:line="400" w:lineRule="exact"/>
              <w:jc w:val="left"/>
              <w:rPr>
                <w:b w:val="0"/>
                <w:bCs/>
              </w:rPr>
            </w:pPr>
            <w:r>
              <w:rPr>
                <w:rFonts w:hint="eastAsia"/>
                <w:b w:val="0"/>
                <w:bCs/>
              </w:rPr>
              <w:t>小写：</w:t>
            </w:r>
          </w:p>
          <w:p>
            <w:pPr>
              <w:rPr>
                <w:bCs/>
              </w:rPr>
            </w:pPr>
          </w:p>
          <w:p>
            <w:pPr>
              <w:pStyle w:val="8"/>
              <w:spacing w:line="400" w:lineRule="exact"/>
              <w:rPr>
                <w:b w:val="0"/>
                <w:bCs/>
              </w:rPr>
            </w:pPr>
            <w:r>
              <w:rPr>
                <w:rFonts w:hint="eastAsia"/>
                <w:b w:val="0"/>
                <w:bCs/>
              </w:rPr>
              <w:t>大写：</w:t>
            </w:r>
          </w:p>
          <w:p>
            <w:pPr>
              <w:pStyle w:val="8"/>
              <w:spacing w:line="400" w:lineRule="exact"/>
              <w:jc w:val="center"/>
              <w:rPr>
                <w:rFonts w:hint="eastAsia" w:ascii="宋体" w:hAnsi="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21" w:type="pct"/>
            <w:vAlign w:val="center"/>
          </w:tcPr>
          <w:p>
            <w:pPr>
              <w:snapToGrid w:val="0"/>
              <w:jc w:val="center"/>
              <w:rPr>
                <w:rFonts w:hint="eastAsia" w:ascii="宋体" w:hAnsi="宋体" w:cs="宋体"/>
                <w:szCs w:val="21"/>
              </w:rPr>
            </w:pPr>
            <w:r>
              <w:rPr>
                <w:rFonts w:hint="eastAsia" w:ascii="宋体" w:hAnsi="宋体" w:cs="宋体"/>
                <w:szCs w:val="21"/>
              </w:rPr>
              <w:t>备注</w:t>
            </w:r>
          </w:p>
        </w:tc>
        <w:tc>
          <w:tcPr>
            <w:tcW w:w="4578" w:type="pct"/>
            <w:gridSpan w:val="4"/>
            <w:vAlign w:val="center"/>
          </w:tcPr>
          <w:p>
            <w:pPr>
              <w:pStyle w:val="8"/>
              <w:spacing w:line="400" w:lineRule="exact"/>
              <w:jc w:val="center"/>
              <w:rPr>
                <w:rFonts w:hint="eastAsia" w:ascii="宋体" w:hAnsi="宋体" w:cs="宋体"/>
                <w:b w:val="0"/>
                <w:bCs/>
                <w:szCs w:val="21"/>
              </w:rPr>
            </w:pPr>
          </w:p>
        </w:tc>
      </w:tr>
    </w:tbl>
    <w:p>
      <w:pPr>
        <w:topLinePunct/>
        <w:autoSpaceDE w:val="0"/>
        <w:autoSpaceDN w:val="0"/>
        <w:spacing w:line="360" w:lineRule="auto"/>
        <w:rPr>
          <w:rFonts w:hint="eastAsia"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1.本项目总价及分项报价均不接受任何形式的赠送、“零”报价和折扣报价。</w:t>
      </w:r>
    </w:p>
    <w:p>
      <w:pPr>
        <w:topLinePunct/>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2.本项目执行中所发生的所有费用均计入投标报价中，采购人不再另行支付其他任何费用。</w:t>
      </w:r>
    </w:p>
    <w:p>
      <w:pPr>
        <w:topLinePunct/>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3.投标人应根据《招标文件-技术部分》相关要求填报。</w:t>
      </w:r>
    </w:p>
    <w:p>
      <w:pPr>
        <w:topLinePunct/>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4.如报价不一致，按照投标人须知“19.核价原则”进行修正。</w:t>
      </w:r>
    </w:p>
    <w:p>
      <w:pPr>
        <w:pStyle w:val="19"/>
        <w:ind w:left="0" w:leftChars="0" w:firstLineChars="200"/>
      </w:pPr>
      <w:r>
        <w:rPr>
          <w:rFonts w:hint="eastAsia" w:ascii="宋体" w:hAnsi="宋体" w:cs="宋体"/>
          <w:szCs w:val="21"/>
        </w:rPr>
        <w:t>5.投标人按所投采购包进行填写投标报价，未投的采购包内容可删除。</w:t>
      </w:r>
    </w:p>
    <w:p>
      <w:pPr>
        <w:topLinePunct/>
        <w:autoSpaceDE w:val="0"/>
        <w:autoSpaceDN w:val="0"/>
        <w:adjustRightInd w:val="0"/>
        <w:snapToGrid w:val="0"/>
        <w:spacing w:line="360" w:lineRule="auto"/>
        <w:ind w:firstLine="525" w:firstLineChars="250"/>
        <w:jc w:val="left"/>
      </w:pP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kern w:val="0"/>
          <w:szCs w:val="21"/>
        </w:rPr>
        <w:t>投标人代表（签字或盖章）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widowControl/>
        <w:jc w:val="center"/>
        <w:rPr>
          <w:rFonts w:hint="eastAsia" w:ascii="宋体" w:hAnsi="宋体" w:cs="宋体"/>
          <w:b/>
          <w:sz w:val="28"/>
        </w:rPr>
      </w:pPr>
      <w:r>
        <w:rPr>
          <w:rFonts w:hAnsi="宋体" w:cs="宋体"/>
          <w:szCs w:val="21"/>
        </w:rPr>
        <w:br w:type="page"/>
      </w:r>
      <w:r>
        <w:rPr>
          <w:rFonts w:ascii="Times New Roman" w:hAnsi="Times New Roman"/>
          <w:b/>
          <w:sz w:val="28"/>
        </w:rPr>
        <w:t>2.分项报价表</w:t>
      </w:r>
    </w:p>
    <w:p>
      <w:pPr>
        <w:pStyle w:val="11"/>
        <w:topLinePunct/>
        <w:autoSpaceDE w:val="0"/>
        <w:autoSpaceDN w:val="0"/>
        <w:adjustRightInd w:val="0"/>
        <w:snapToGrid w:val="0"/>
        <w:spacing w:line="360" w:lineRule="auto"/>
        <w:ind w:left="2"/>
        <w:jc w:val="center"/>
        <w:rPr>
          <w:rFonts w:hint="eastAsia" w:hAnsi="宋体" w:cs="宋体"/>
          <w:b/>
          <w:bCs/>
        </w:rPr>
      </w:pPr>
      <w:r>
        <w:rPr>
          <w:rFonts w:hint="eastAsia" w:hAnsi="宋体" w:cs="宋体"/>
        </w:rPr>
        <w:t>（服务类项目适用)</w:t>
      </w:r>
    </w:p>
    <w:p>
      <w:pPr>
        <w:topLinePunct/>
        <w:autoSpaceDE w:val="0"/>
        <w:autoSpaceDN w:val="0"/>
        <w:adjustRightInd w:val="0"/>
        <w:snapToGrid w:val="0"/>
        <w:spacing w:line="360" w:lineRule="auto"/>
        <w:jc w:val="left"/>
        <w:rPr>
          <w:rFonts w:hint="eastAsia" w:ascii="宋体" w:hAnsi="宋体" w:cs="宋体"/>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w:t>
      </w:r>
    </w:p>
    <w:p>
      <w:pPr>
        <w:topLinePunct/>
        <w:autoSpaceDE w:val="0"/>
        <w:autoSpaceDN w:val="0"/>
        <w:adjustRightInd w:val="0"/>
        <w:snapToGrid w:val="0"/>
        <w:spacing w:line="360" w:lineRule="auto"/>
        <w:jc w:val="left"/>
        <w:rPr>
          <w:rFonts w:ascii="Times New Roman" w:hAnsi="Times New Roman"/>
          <w:szCs w:val="21"/>
        </w:rPr>
      </w:pPr>
      <w:r>
        <w:rPr>
          <w:rFonts w:hint="eastAsia" w:ascii="宋体" w:hAnsi="宋体" w:cs="宋体"/>
        </w:rPr>
        <w:t>采购包号：</w:t>
      </w:r>
      <w:r>
        <w:rPr>
          <w:rFonts w:hint="eastAsia" w:ascii="宋体" w:hAnsi="宋体" w:cs="宋体"/>
          <w:u w:val="single"/>
        </w:rPr>
        <w:t xml:space="preserve">         </w:t>
      </w:r>
      <w:r>
        <w:rPr>
          <w:rFonts w:hint="eastAsia" w:ascii="宋体" w:hAnsi="宋体" w:cs="宋体"/>
        </w:rPr>
        <w:t xml:space="preserve">                                     价格单位：人民币   元</w:t>
      </w:r>
    </w:p>
    <w:tbl>
      <w:tblPr>
        <w:tblStyle w:val="2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b/>
                <w:szCs w:val="21"/>
              </w:rPr>
              <w:t>序号</w:t>
            </w:r>
          </w:p>
        </w:tc>
        <w:tc>
          <w:tcPr>
            <w:tcW w:w="4918"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b/>
                <w:szCs w:val="21"/>
              </w:rPr>
              <w:t>内容</w:t>
            </w:r>
          </w:p>
        </w:tc>
        <w:tc>
          <w:tcPr>
            <w:tcW w:w="2553"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b/>
                <w:szCs w:val="21"/>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noWrap/>
            <w:vAlign w:val="center"/>
          </w:tcPr>
          <w:p>
            <w:pPr>
              <w:adjustRightInd w:val="0"/>
              <w:snapToGrid w:val="0"/>
              <w:spacing w:before="62" w:beforeLines="20" w:after="62" w:afterLines="20"/>
              <w:jc w:val="center"/>
              <w:rPr>
                <w:rFonts w:ascii="Times New Roman" w:hAnsi="Times New Roman"/>
                <w:b/>
                <w:szCs w:val="21"/>
              </w:rPr>
            </w:pPr>
            <w:r>
              <w:rPr>
                <w:rFonts w:ascii="Times New Roman" w:hAnsi="Times New Roman"/>
                <w:szCs w:val="21"/>
              </w:rPr>
              <w:t>1</w:t>
            </w:r>
          </w:p>
        </w:tc>
        <w:tc>
          <w:tcPr>
            <w:tcW w:w="4918" w:type="dxa"/>
            <w:noWrap/>
            <w:vAlign w:val="center"/>
          </w:tcPr>
          <w:p>
            <w:pPr>
              <w:adjustRightInd w:val="0"/>
              <w:snapToGrid w:val="0"/>
              <w:spacing w:line="360" w:lineRule="auto"/>
              <w:jc w:val="center"/>
              <w:rPr>
                <w:rFonts w:ascii="Times New Roman" w:hAnsi="Times New Roman"/>
                <w:szCs w:val="21"/>
              </w:rPr>
            </w:pPr>
          </w:p>
        </w:tc>
        <w:tc>
          <w:tcPr>
            <w:tcW w:w="2553" w:type="dxa"/>
            <w:noWrap/>
            <w:vAlign w:val="center"/>
          </w:tcPr>
          <w:p>
            <w:pPr>
              <w:adjustRightInd w:val="0"/>
              <w:snapToGrid w:val="0"/>
              <w:spacing w:before="62" w:beforeLines="20" w:after="62" w:afterLines="2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2</w:t>
            </w:r>
          </w:p>
        </w:tc>
        <w:tc>
          <w:tcPr>
            <w:tcW w:w="4918" w:type="dxa"/>
            <w:noWrap/>
            <w:vAlign w:val="center"/>
          </w:tcPr>
          <w:p>
            <w:pPr>
              <w:spacing w:line="460" w:lineRule="exact"/>
              <w:jc w:val="left"/>
              <w:rPr>
                <w:rFonts w:ascii="Times New Roman" w:hAnsi="Times New Roman"/>
                <w:szCs w:val="21"/>
              </w:rPr>
            </w:pP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3</w:t>
            </w:r>
          </w:p>
        </w:tc>
        <w:tc>
          <w:tcPr>
            <w:tcW w:w="4918" w:type="dxa"/>
            <w:noWrap/>
            <w:vAlign w:val="center"/>
          </w:tcPr>
          <w:p>
            <w:pPr>
              <w:spacing w:line="460" w:lineRule="exact"/>
              <w:jc w:val="left"/>
              <w:rPr>
                <w:rFonts w:ascii="Times New Roman" w:hAnsi="Times New Roman"/>
                <w:szCs w:val="21"/>
              </w:rPr>
            </w:pP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报价合计（小写）</w:t>
            </w: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b/>
                <w:bCs/>
                <w:szCs w:val="21"/>
              </w:rPr>
            </w:pPr>
            <w:r>
              <w:rPr>
                <w:rFonts w:ascii="Times New Roman" w:hAnsi="Times New Roman"/>
                <w:szCs w:val="21"/>
              </w:rPr>
              <w:t>报价合计（大写）</w:t>
            </w: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w:t>
            </w: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szCs w:val="21"/>
              </w:rPr>
            </w:pPr>
            <w:r>
              <w:rPr>
                <w:rFonts w:ascii="Times New Roman" w:hAnsi="Times New Roman"/>
                <w:szCs w:val="21"/>
              </w:rPr>
              <w:t>…</w:t>
            </w:r>
          </w:p>
        </w:tc>
        <w:tc>
          <w:tcPr>
            <w:tcW w:w="2553" w:type="dxa"/>
            <w:noWrap/>
            <w:vAlign w:val="center"/>
          </w:tcPr>
          <w:p>
            <w:pPr>
              <w:adjustRightInd w:val="0"/>
              <w:snapToGrid w:val="0"/>
              <w:spacing w:before="62" w:beforeLines="20" w:after="62" w:afterLines="20"/>
              <w:jc w:val="center"/>
              <w:rPr>
                <w:rFonts w:ascii="Times New Roman" w:hAnsi="Times New Roman"/>
                <w:szCs w:val="21"/>
              </w:rPr>
            </w:pPr>
          </w:p>
        </w:tc>
      </w:tr>
    </w:tbl>
    <w:p>
      <w:pPr>
        <w:pStyle w:val="11"/>
        <w:ind w:firstLine="420" w:firstLineChars="200"/>
        <w:rPr>
          <w:rFonts w:ascii="Times New Roman" w:hAnsi="Times New Roman" w:cs="Times New Roman"/>
        </w:rPr>
      </w:pPr>
      <w:r>
        <w:rPr>
          <w:rFonts w:hint="eastAsia" w:ascii="Times New Roman" w:hAnsi="Times New Roman" w:cs="Times New Roman"/>
        </w:rPr>
        <w:t>注：按采购包进行分项报价</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投标人</w:t>
      </w:r>
      <w:r>
        <w:rPr>
          <w:rFonts w:ascii="Times New Roman" w:hAnsi="Times New Roman"/>
          <w:kern w:val="0"/>
          <w:szCs w:val="21"/>
        </w:rPr>
        <w:t>（全称并加盖公章</w:t>
      </w:r>
      <w:r>
        <w:rPr>
          <w:rFonts w:ascii="Times New Roman" w:hAnsi="Times New Roman"/>
          <w:szCs w:val="21"/>
        </w:rPr>
        <w:t>）：</w:t>
      </w:r>
      <w:r>
        <w:rPr>
          <w:rFonts w:ascii="Times New Roman" w:hAnsi="Times New Roman"/>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kern w:val="0"/>
          <w:szCs w:val="21"/>
        </w:rPr>
        <w:t>投标人代表（签字或盖章）</w:t>
      </w:r>
      <w:r>
        <w:rPr>
          <w:rFonts w:ascii="Times New Roman" w:hAnsi="Times New Roman"/>
          <w:szCs w:val="21"/>
        </w:rPr>
        <w:t>：</w:t>
      </w:r>
      <w:r>
        <w:rPr>
          <w:rFonts w:ascii="Times New Roman" w:hAnsi="Times New Roman"/>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pPr>
        <w:widowControl/>
        <w:jc w:val="center"/>
        <w:rPr>
          <w:rFonts w:hint="eastAsia" w:ascii="宋体" w:hAnsi="宋体" w:cs="宋体"/>
          <w:b/>
          <w:bCs/>
          <w:sz w:val="28"/>
          <w:szCs w:val="28"/>
        </w:rPr>
      </w:pPr>
      <w:r>
        <w:rPr>
          <w:rFonts w:ascii="宋体" w:hAnsi="宋体" w:cs="宋体"/>
          <w:b/>
          <w:bCs/>
          <w:sz w:val="36"/>
          <w:szCs w:val="36"/>
        </w:rPr>
        <w:br w:type="page"/>
      </w:r>
      <w:r>
        <w:rPr>
          <w:rFonts w:hint="eastAsia" w:ascii="宋体" w:hAnsi="宋体" w:cs="宋体"/>
          <w:b/>
          <w:bCs/>
          <w:sz w:val="28"/>
          <w:szCs w:val="28"/>
        </w:rPr>
        <w:t>格式4  商务条款偏离表</w:t>
      </w:r>
    </w:p>
    <w:tbl>
      <w:tblPr>
        <w:tblStyle w:val="2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招标文件</w:t>
            </w:r>
          </w:p>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投标文件</w:t>
            </w:r>
          </w:p>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偏离</w:t>
            </w:r>
          </w:p>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b/>
                <w:szCs w:val="21"/>
              </w:rPr>
            </w:pPr>
            <w:r>
              <w:rPr>
                <w:rFonts w:ascii="Times New Roman" w:hAnsi="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szCs w:val="21"/>
              </w:rPr>
            </w:pPr>
            <w:r>
              <w:rPr>
                <w:rFonts w:ascii="Times New Roman" w:hAnsi="Times New Roman"/>
                <w:szCs w:val="21"/>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szCs w:val="21"/>
              </w:rPr>
            </w:pPr>
            <w:r>
              <w:rPr>
                <w:rFonts w:ascii="Times New Roman" w:hAnsi="Times New Roman"/>
                <w:szCs w:val="21"/>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szCs w:val="21"/>
              </w:rPr>
            </w:pPr>
            <w:r>
              <w:rPr>
                <w:rFonts w:ascii="Times New Roman" w:hAnsi="Times New Roman"/>
                <w:szCs w:val="21"/>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szCs w:val="21"/>
              </w:rPr>
            </w:pPr>
            <w:r>
              <w:rPr>
                <w:rFonts w:ascii="Times New Roman" w:hAnsi="Times New Roman"/>
                <w:szCs w:val="21"/>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szCs w:val="21"/>
              </w:rPr>
            </w:pPr>
            <w:r>
              <w:rPr>
                <w:rFonts w:ascii="Times New Roman" w:hAnsi="Times New Roman"/>
                <w:szCs w:val="21"/>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b/>
                <w:bCs/>
                <w:szCs w:val="21"/>
              </w:rPr>
            </w:pPr>
          </w:p>
        </w:tc>
      </w:tr>
    </w:tbl>
    <w:p>
      <w:pPr>
        <w:topLinePunct/>
        <w:autoSpaceDE w:val="0"/>
        <w:autoSpaceDN w:val="0"/>
        <w:spacing w:line="360" w:lineRule="auto"/>
        <w:rPr>
          <w:rFonts w:ascii="Times New Roman" w:hAnsi="Times New Roman"/>
          <w:szCs w:val="21"/>
        </w:rPr>
      </w:pPr>
      <w:r>
        <w:rPr>
          <w:rFonts w:ascii="Times New Roman" w:hAnsi="Times New Roman"/>
          <w:szCs w:val="21"/>
        </w:rPr>
        <w:t>特别说明：</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1.商务条款无需条对条应答，如无偏离，请在此表中填写“无偏离”；如有偏离，请在此表中应答为“正/负偏离”并说明偏离情况。</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2.如《招标文件-商务部分》中有标注★号的，则为实质性要求，必须满足，如应答为“负偏离”，将</w:t>
      </w:r>
      <w:r>
        <w:rPr>
          <w:rFonts w:ascii="Times New Roman" w:hAnsi="Times New Roman"/>
          <w:b/>
          <w:bCs/>
          <w:szCs w:val="21"/>
        </w:rPr>
        <w:t>导致投标无效。</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3.本表可扩展。</w:t>
      </w:r>
    </w:p>
    <w:p>
      <w:pPr>
        <w:topLinePunct/>
        <w:autoSpaceDE w:val="0"/>
        <w:autoSpaceDN w:val="0"/>
        <w:spacing w:line="500" w:lineRule="exact"/>
        <w:rPr>
          <w:rFonts w:hint="eastAsia" w:hAnsi="宋体"/>
          <w:sz w:val="24"/>
        </w:rPr>
      </w:pP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kern w:val="0"/>
          <w:szCs w:val="21"/>
        </w:rPr>
        <w:t>投标人代表（签字或盖章）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rPr>
          <w:rFonts w:hint="eastAsia" w:hAnsi="宋体" w:cs="宋体"/>
          <w:b/>
          <w:bCs/>
          <w:sz w:val="28"/>
          <w:szCs w:val="28"/>
        </w:rPr>
      </w:pPr>
    </w:p>
    <w:p>
      <w:pPr>
        <w:snapToGrid w:val="0"/>
        <w:spacing w:line="360" w:lineRule="auto"/>
        <w:jc w:val="center"/>
        <w:rPr>
          <w:rFonts w:ascii="Times New Roman" w:hAnsi="Times New Roman"/>
          <w:b/>
          <w:bCs/>
          <w:sz w:val="28"/>
          <w:szCs w:val="28"/>
        </w:rPr>
      </w:pPr>
      <w:r>
        <w:rPr>
          <w:rFonts w:hAnsi="宋体" w:cs="宋体"/>
          <w:b/>
          <w:bCs/>
          <w:sz w:val="28"/>
          <w:szCs w:val="28"/>
        </w:rPr>
        <w:br w:type="page"/>
      </w:r>
      <w:r>
        <w:rPr>
          <w:rFonts w:ascii="Times New Roman" w:hAnsi="Times New Roman"/>
          <w:b/>
          <w:bCs/>
          <w:sz w:val="28"/>
          <w:szCs w:val="28"/>
        </w:rPr>
        <w:t>格式5  投标人具备投标资格证明文件</w:t>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5-1投标人基本情况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1"/>
              <w:spacing w:line="360" w:lineRule="auto"/>
              <w:jc w:val="center"/>
              <w:rPr>
                <w:rFonts w:ascii="Times New Roman" w:hAnsi="Times New Roman"/>
              </w:rPr>
            </w:pPr>
            <w:r>
              <w:rPr>
                <w:rFonts w:hint="eastAsia" w:ascii="Times New Roman" w:hAnsi="Times New Roman"/>
              </w:rPr>
              <w:t>供应商名称</w:t>
            </w:r>
          </w:p>
        </w:tc>
        <w:tc>
          <w:tcPr>
            <w:tcW w:w="1234" w:type="pct"/>
            <w:gridSpan w:val="2"/>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r>
              <w:rPr>
                <w:rFonts w:hint="eastAsia" w:ascii="Times New Roman" w:hAnsi="Times New Roman"/>
              </w:rPr>
              <w:t>法定代表人</w:t>
            </w: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1"/>
              <w:spacing w:line="360" w:lineRule="auto"/>
              <w:jc w:val="center"/>
              <w:rPr>
                <w:rFonts w:ascii="Times New Roman" w:hAnsi="Times New Roman"/>
              </w:rPr>
            </w:pPr>
            <w:r>
              <w:rPr>
                <w:rFonts w:hint="eastAsia" w:ascii="Times New Roman" w:hAnsi="Times New Roman"/>
              </w:rPr>
              <w:t>统一社会信用代码</w:t>
            </w:r>
          </w:p>
        </w:tc>
        <w:tc>
          <w:tcPr>
            <w:tcW w:w="1234" w:type="pct"/>
            <w:gridSpan w:val="2"/>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r>
              <w:rPr>
                <w:rFonts w:hint="eastAsia" w:ascii="Times New Roman" w:hAnsi="Times New Roman"/>
              </w:rPr>
              <w:t>邮政编码</w:t>
            </w: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1"/>
              <w:spacing w:line="360" w:lineRule="auto"/>
              <w:jc w:val="center"/>
              <w:rPr>
                <w:rFonts w:ascii="Times New Roman" w:hAnsi="Times New Roman"/>
              </w:rPr>
            </w:pPr>
            <w:r>
              <w:rPr>
                <w:rFonts w:hint="eastAsia" w:ascii="Times New Roman" w:hAnsi="Times New Roman"/>
              </w:rPr>
              <w:t>授权代表</w:t>
            </w:r>
          </w:p>
        </w:tc>
        <w:tc>
          <w:tcPr>
            <w:tcW w:w="1234" w:type="pct"/>
            <w:gridSpan w:val="2"/>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r>
              <w:rPr>
                <w:rFonts w:hint="eastAsia" w:ascii="Times New Roman" w:hAnsi="Times New Roman"/>
              </w:rPr>
              <w:t>联系电话</w:t>
            </w: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1"/>
              <w:spacing w:line="360" w:lineRule="auto"/>
              <w:jc w:val="center"/>
              <w:rPr>
                <w:rFonts w:ascii="Times New Roman" w:hAnsi="Times New Roman"/>
              </w:rPr>
            </w:pPr>
            <w:r>
              <w:rPr>
                <w:rFonts w:hint="eastAsia" w:ascii="Times New Roman" w:hAnsi="Times New Roman"/>
              </w:rPr>
              <w:t>电子邮箱</w:t>
            </w:r>
          </w:p>
        </w:tc>
        <w:tc>
          <w:tcPr>
            <w:tcW w:w="1234" w:type="pct"/>
            <w:gridSpan w:val="2"/>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r>
              <w:rPr>
                <w:rFonts w:hint="eastAsia" w:ascii="Times New Roman" w:hAnsi="Times New Roman"/>
              </w:rPr>
              <w:t>传真</w:t>
            </w: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1"/>
              <w:spacing w:line="360" w:lineRule="auto"/>
              <w:jc w:val="center"/>
              <w:rPr>
                <w:rFonts w:ascii="Times New Roman" w:hAnsi="Times New Roman"/>
              </w:rPr>
            </w:pPr>
            <w:r>
              <w:rPr>
                <w:rFonts w:hint="eastAsia" w:ascii="Times New Roman" w:hAnsi="Times New Roman"/>
              </w:rPr>
              <w:t>上年营业收入</w:t>
            </w:r>
          </w:p>
        </w:tc>
        <w:tc>
          <w:tcPr>
            <w:tcW w:w="1234" w:type="pct"/>
            <w:gridSpan w:val="2"/>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r>
              <w:rPr>
                <w:rFonts w:hint="eastAsia" w:ascii="Times New Roman" w:hAnsi="Times New Roman"/>
              </w:rPr>
              <w:t>员工总人数</w:t>
            </w: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1"/>
              <w:spacing w:line="360" w:lineRule="auto"/>
              <w:jc w:val="center"/>
              <w:rPr>
                <w:rFonts w:ascii="Times New Roman" w:hAnsi="Times New Roman"/>
              </w:rPr>
            </w:pPr>
            <w:r>
              <w:rPr>
                <w:rFonts w:hint="eastAsia" w:ascii="Times New Roman" w:hAnsi="Times New Roman"/>
              </w:rPr>
              <w:t>基本账户开户行及账号</w:t>
            </w:r>
          </w:p>
        </w:tc>
        <w:tc>
          <w:tcPr>
            <w:tcW w:w="3456" w:type="pct"/>
            <w:gridSpan w:val="3"/>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1"/>
              <w:spacing w:line="360" w:lineRule="auto"/>
              <w:jc w:val="center"/>
              <w:rPr>
                <w:rFonts w:ascii="Times New Roman" w:hAnsi="Times New Roman"/>
              </w:rPr>
            </w:pPr>
            <w:r>
              <w:rPr>
                <w:rFonts w:hint="eastAsia" w:ascii="Times New Roman" w:hAnsi="Times New Roman"/>
              </w:rPr>
              <w:t>税务登记机关</w:t>
            </w:r>
          </w:p>
        </w:tc>
        <w:tc>
          <w:tcPr>
            <w:tcW w:w="3456" w:type="pct"/>
            <w:gridSpan w:val="3"/>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1"/>
              <w:spacing w:line="360" w:lineRule="auto"/>
              <w:jc w:val="center"/>
              <w:rPr>
                <w:rFonts w:ascii="Times New Roman" w:hAnsi="Times New Roman"/>
              </w:rPr>
            </w:pPr>
            <w:r>
              <w:rPr>
                <w:rFonts w:hint="eastAsia" w:ascii="Times New Roman" w:hAnsi="Times New Roman"/>
              </w:rPr>
              <w:t>资质名称</w:t>
            </w:r>
          </w:p>
        </w:tc>
        <w:tc>
          <w:tcPr>
            <w:tcW w:w="905" w:type="pct"/>
            <w:vAlign w:val="center"/>
          </w:tcPr>
          <w:p>
            <w:pPr>
              <w:pStyle w:val="11"/>
              <w:spacing w:line="360" w:lineRule="auto"/>
              <w:jc w:val="center"/>
              <w:rPr>
                <w:rFonts w:ascii="Times New Roman" w:hAnsi="Times New Roman"/>
              </w:rPr>
            </w:pPr>
            <w:r>
              <w:rPr>
                <w:rFonts w:hint="eastAsia" w:ascii="Times New Roman" w:hAnsi="Times New Roman"/>
              </w:rPr>
              <w:t>等级</w:t>
            </w:r>
          </w:p>
        </w:tc>
        <w:tc>
          <w:tcPr>
            <w:tcW w:w="987" w:type="pct"/>
            <w:vAlign w:val="center"/>
          </w:tcPr>
          <w:p>
            <w:pPr>
              <w:pStyle w:val="11"/>
              <w:spacing w:line="360" w:lineRule="auto"/>
              <w:jc w:val="center"/>
              <w:rPr>
                <w:rFonts w:ascii="Times New Roman" w:hAnsi="Times New Roman"/>
              </w:rPr>
            </w:pPr>
            <w:r>
              <w:rPr>
                <w:rFonts w:hint="eastAsia" w:ascii="Times New Roman" w:hAnsi="Times New Roman"/>
              </w:rPr>
              <w:t>发证机关</w:t>
            </w:r>
          </w:p>
        </w:tc>
        <w:tc>
          <w:tcPr>
            <w:tcW w:w="1564" w:type="pct"/>
            <w:vAlign w:val="center"/>
          </w:tcPr>
          <w:p>
            <w:pPr>
              <w:pStyle w:val="11"/>
              <w:spacing w:line="360" w:lineRule="auto"/>
              <w:jc w:val="center"/>
              <w:rPr>
                <w:rFonts w:ascii="Times New Roman" w:hAnsi="Times New Roman"/>
              </w:rPr>
            </w:pPr>
            <w:r>
              <w:rPr>
                <w:rFonts w:hint="eastAsia" w:ascii="Times New Roman" w:hAnsi="Times New Roma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1"/>
              <w:spacing w:line="360" w:lineRule="auto"/>
              <w:jc w:val="center"/>
              <w:rPr>
                <w:rFonts w:ascii="Times New Roman" w:hAnsi="Times New Roman"/>
              </w:rPr>
            </w:pPr>
          </w:p>
        </w:tc>
        <w:tc>
          <w:tcPr>
            <w:tcW w:w="905" w:type="pct"/>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1"/>
              <w:spacing w:line="360" w:lineRule="auto"/>
              <w:jc w:val="center"/>
              <w:rPr>
                <w:rFonts w:ascii="Times New Roman" w:hAnsi="Times New Roman"/>
              </w:rPr>
            </w:pPr>
          </w:p>
        </w:tc>
        <w:tc>
          <w:tcPr>
            <w:tcW w:w="905" w:type="pct"/>
            <w:vAlign w:val="center"/>
          </w:tcPr>
          <w:p>
            <w:pPr>
              <w:pStyle w:val="11"/>
              <w:spacing w:line="360" w:lineRule="auto"/>
              <w:jc w:val="center"/>
              <w:rPr>
                <w:rFonts w:ascii="Times New Roman" w:hAnsi="Times New Roman"/>
              </w:rPr>
            </w:pPr>
          </w:p>
        </w:tc>
        <w:tc>
          <w:tcPr>
            <w:tcW w:w="987" w:type="pct"/>
            <w:vAlign w:val="center"/>
          </w:tcPr>
          <w:p>
            <w:pPr>
              <w:pStyle w:val="11"/>
              <w:spacing w:line="360" w:lineRule="auto"/>
              <w:jc w:val="center"/>
              <w:rPr>
                <w:rFonts w:ascii="Times New Roman" w:hAnsi="Times New Roman"/>
              </w:rPr>
            </w:pPr>
          </w:p>
        </w:tc>
        <w:tc>
          <w:tcPr>
            <w:tcW w:w="1564" w:type="pct"/>
            <w:vAlign w:val="center"/>
          </w:tcPr>
          <w:p>
            <w:pPr>
              <w:pStyle w:val="11"/>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1"/>
              <w:spacing w:line="360" w:lineRule="auto"/>
              <w:jc w:val="center"/>
              <w:rPr>
                <w:rFonts w:ascii="Times New Roman" w:hAnsi="Times New Roman"/>
              </w:rPr>
            </w:pPr>
            <w:r>
              <w:rPr>
                <w:rFonts w:hint="eastAsia" w:ascii="Times New Roman" w:hAnsi="Times New Roman"/>
              </w:rPr>
              <w:t>备注</w:t>
            </w:r>
          </w:p>
        </w:tc>
        <w:tc>
          <w:tcPr>
            <w:tcW w:w="3785" w:type="pct"/>
            <w:gridSpan w:val="4"/>
            <w:vAlign w:val="center"/>
          </w:tcPr>
          <w:p>
            <w:pPr>
              <w:pStyle w:val="11"/>
              <w:spacing w:line="360" w:lineRule="auto"/>
              <w:jc w:val="center"/>
              <w:rPr>
                <w:rFonts w:ascii="Times New Roman" w:hAnsi="Times New Roman"/>
              </w:rPr>
            </w:pPr>
          </w:p>
        </w:tc>
      </w:tr>
    </w:tbl>
    <w:p>
      <w:pPr>
        <w:topLinePunct/>
        <w:autoSpaceDE w:val="0"/>
        <w:autoSpaceDN w:val="0"/>
        <w:spacing w:line="500" w:lineRule="exact"/>
        <w:rPr>
          <w:rFonts w:hint="eastAsia" w:hAnsi="宋体"/>
          <w:sz w:val="24"/>
        </w:rPr>
      </w:pP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kern w:val="0"/>
          <w:szCs w:val="21"/>
        </w:rPr>
        <w:t>投标人代表（签字或盖章）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pStyle w:val="11"/>
        <w:ind w:firstLine="420" w:firstLineChars="200"/>
        <w:rPr>
          <w:rFonts w:ascii="Times New Roman" w:hAnsi="Times New Roman"/>
        </w:rPr>
      </w:pPr>
    </w:p>
    <w:p>
      <w:pPr>
        <w:widowControl/>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5-</w:t>
      </w:r>
      <w:r>
        <w:rPr>
          <w:rFonts w:hint="eastAsia"/>
          <w:b/>
          <w:bCs/>
          <w:sz w:val="28"/>
          <w:szCs w:val="28"/>
        </w:rPr>
        <w:t>2</w:t>
      </w:r>
      <w:r>
        <w:rPr>
          <w:rFonts w:ascii="Times New Roman" w:hAnsi="Times New Roman"/>
          <w:b/>
          <w:bCs/>
          <w:sz w:val="28"/>
          <w:szCs w:val="28"/>
        </w:rPr>
        <w:t xml:space="preserve"> 财务状况报告</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根据资格条件要求提供相应材料。</w:t>
      </w:r>
    </w:p>
    <w:p>
      <w:pPr>
        <w:spacing w:line="360" w:lineRule="auto"/>
        <w:ind w:firstLine="480" w:firstLineChars="200"/>
        <w:jc w:val="left"/>
        <w:rPr>
          <w:rFonts w:ascii="Times New Roman" w:hAnsi="Times New Roman"/>
          <w:kern w:val="0"/>
          <w:sz w:val="24"/>
        </w:rPr>
      </w:pPr>
    </w:p>
    <w:p>
      <w:pPr>
        <w:spacing w:line="360" w:lineRule="auto"/>
        <w:ind w:firstLine="480" w:firstLineChars="200"/>
        <w:jc w:val="left"/>
        <w:rPr>
          <w:rFonts w:ascii="Times New Roman" w:hAnsi="Times New Roman"/>
          <w:kern w:val="0"/>
          <w:sz w:val="24"/>
        </w:rPr>
      </w:pPr>
    </w:p>
    <w:p>
      <w:pPr>
        <w:spacing w:line="360" w:lineRule="auto"/>
        <w:jc w:val="center"/>
        <w:rPr>
          <w:rFonts w:ascii="Times New Roman" w:hAnsi="Times New Roman"/>
          <w:b/>
          <w:bCs/>
          <w:sz w:val="28"/>
          <w:szCs w:val="28"/>
        </w:rPr>
      </w:pPr>
      <w:r>
        <w:rPr>
          <w:rFonts w:ascii="Times New Roman" w:hAnsi="Times New Roman"/>
          <w:b/>
          <w:bCs/>
          <w:sz w:val="28"/>
          <w:szCs w:val="28"/>
        </w:rPr>
        <w:t>5-</w:t>
      </w:r>
      <w:r>
        <w:rPr>
          <w:rFonts w:hint="eastAsia"/>
          <w:b/>
          <w:bCs/>
          <w:sz w:val="28"/>
          <w:szCs w:val="28"/>
        </w:rPr>
        <w:t>3</w:t>
      </w:r>
      <w:r>
        <w:rPr>
          <w:rFonts w:ascii="Times New Roman" w:hAnsi="Times New Roman"/>
          <w:b/>
          <w:bCs/>
          <w:sz w:val="28"/>
          <w:szCs w:val="28"/>
        </w:rPr>
        <w:t>依法缴纳税收的相关材料</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根据资格条件要求提供相应材料。</w:t>
      </w:r>
    </w:p>
    <w:p>
      <w:pPr>
        <w:spacing w:line="360" w:lineRule="auto"/>
        <w:ind w:firstLine="480" w:firstLineChars="200"/>
        <w:jc w:val="left"/>
        <w:rPr>
          <w:rFonts w:ascii="Times New Roman" w:hAnsi="Times New Roman"/>
          <w:kern w:val="0"/>
          <w:sz w:val="24"/>
        </w:rPr>
      </w:pPr>
    </w:p>
    <w:p>
      <w:pPr>
        <w:spacing w:line="360" w:lineRule="auto"/>
        <w:ind w:firstLine="480" w:firstLineChars="200"/>
        <w:jc w:val="left"/>
        <w:rPr>
          <w:rFonts w:ascii="Times New Roman" w:hAnsi="Times New Roman"/>
          <w:kern w:val="0"/>
          <w:sz w:val="24"/>
        </w:rPr>
      </w:pPr>
    </w:p>
    <w:p>
      <w:pPr>
        <w:spacing w:line="360" w:lineRule="auto"/>
        <w:jc w:val="center"/>
        <w:rPr>
          <w:rFonts w:ascii="Times New Roman" w:hAnsi="Times New Roman"/>
          <w:b/>
          <w:bCs/>
          <w:sz w:val="28"/>
          <w:szCs w:val="28"/>
        </w:rPr>
      </w:pPr>
      <w:r>
        <w:rPr>
          <w:rFonts w:ascii="Times New Roman" w:hAnsi="Times New Roman"/>
          <w:b/>
          <w:bCs/>
          <w:sz w:val="28"/>
          <w:szCs w:val="28"/>
        </w:rPr>
        <w:t>5-</w:t>
      </w:r>
      <w:r>
        <w:rPr>
          <w:rFonts w:hint="eastAsia"/>
          <w:b/>
          <w:bCs/>
          <w:sz w:val="28"/>
          <w:szCs w:val="28"/>
        </w:rPr>
        <w:t>4</w:t>
      </w:r>
      <w:r>
        <w:rPr>
          <w:rFonts w:ascii="Times New Roman" w:hAnsi="Times New Roman"/>
          <w:b/>
          <w:bCs/>
          <w:sz w:val="28"/>
          <w:szCs w:val="28"/>
        </w:rPr>
        <w:t>依法缴纳社会保障资金的相关材料</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根据资格条件要求提供相应材料。</w:t>
      </w:r>
    </w:p>
    <w:p>
      <w:pPr>
        <w:spacing w:line="360" w:lineRule="auto"/>
        <w:ind w:firstLine="480" w:firstLineChars="200"/>
        <w:jc w:val="left"/>
        <w:rPr>
          <w:rFonts w:ascii="Times New Roman" w:hAnsi="Times New Roman"/>
          <w:kern w:val="0"/>
          <w:sz w:val="24"/>
        </w:rPr>
      </w:pPr>
    </w:p>
    <w:p>
      <w:pPr>
        <w:spacing w:line="360" w:lineRule="auto"/>
        <w:ind w:firstLine="480" w:firstLineChars="200"/>
        <w:jc w:val="left"/>
        <w:rPr>
          <w:rFonts w:ascii="Times New Roman" w:hAnsi="Times New Roman"/>
          <w:kern w:val="0"/>
          <w:sz w:val="24"/>
        </w:rPr>
      </w:pPr>
    </w:p>
    <w:p>
      <w:pPr>
        <w:spacing w:line="360" w:lineRule="auto"/>
        <w:jc w:val="center"/>
        <w:rPr>
          <w:rFonts w:ascii="Times New Roman" w:hAnsi="Times New Roman"/>
          <w:b/>
          <w:bCs/>
          <w:sz w:val="28"/>
          <w:szCs w:val="28"/>
        </w:rPr>
      </w:pPr>
      <w:r>
        <w:rPr>
          <w:rFonts w:ascii="Times New Roman" w:hAnsi="Times New Roman"/>
          <w:b/>
          <w:bCs/>
          <w:sz w:val="28"/>
          <w:szCs w:val="28"/>
        </w:rPr>
        <w:t>5-</w:t>
      </w:r>
      <w:r>
        <w:rPr>
          <w:rFonts w:hint="eastAsia"/>
          <w:b/>
          <w:bCs/>
          <w:sz w:val="28"/>
          <w:szCs w:val="28"/>
        </w:rPr>
        <w:t>5</w:t>
      </w:r>
      <w:r>
        <w:rPr>
          <w:rFonts w:ascii="Times New Roman" w:hAnsi="Times New Roman"/>
          <w:b/>
          <w:bCs/>
          <w:sz w:val="28"/>
          <w:szCs w:val="28"/>
        </w:rPr>
        <w:t>具备履行合同所必需的设备和专业技术能力的</w:t>
      </w:r>
      <w:r>
        <w:rPr>
          <w:rFonts w:hint="eastAsia" w:ascii="Times New Roman" w:hAnsi="Times New Roman"/>
          <w:b/>
          <w:bCs/>
          <w:sz w:val="28"/>
          <w:szCs w:val="28"/>
        </w:rPr>
        <w:t>书面声明</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根据资格条件要求提供相应材料。</w:t>
      </w:r>
    </w:p>
    <w:p>
      <w:pPr>
        <w:adjustRightInd w:val="0"/>
        <w:snapToGrid w:val="0"/>
        <w:spacing w:line="360" w:lineRule="auto"/>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5-</w:t>
      </w:r>
      <w:r>
        <w:rPr>
          <w:rFonts w:hint="eastAsia"/>
          <w:b/>
          <w:bCs/>
          <w:sz w:val="28"/>
          <w:szCs w:val="28"/>
        </w:rPr>
        <w:t>6</w:t>
      </w:r>
      <w:r>
        <w:rPr>
          <w:rFonts w:ascii="Times New Roman" w:hAnsi="Times New Roman"/>
          <w:b/>
          <w:bCs/>
          <w:sz w:val="28"/>
          <w:szCs w:val="28"/>
        </w:rPr>
        <w:t>参加本次政府采购活动前三年内在经营活动中</w:t>
      </w:r>
    </w:p>
    <w:p>
      <w:pPr>
        <w:snapToGrid w:val="0"/>
        <w:spacing w:line="360" w:lineRule="auto"/>
        <w:jc w:val="center"/>
        <w:rPr>
          <w:rFonts w:ascii="Times New Roman" w:hAnsi="Times New Roman"/>
          <w:b/>
          <w:bCs/>
          <w:sz w:val="28"/>
          <w:szCs w:val="28"/>
        </w:rPr>
      </w:pPr>
      <w:r>
        <w:rPr>
          <w:rFonts w:ascii="Times New Roman" w:hAnsi="Times New Roman"/>
          <w:b/>
          <w:bCs/>
          <w:sz w:val="28"/>
          <w:szCs w:val="28"/>
        </w:rPr>
        <w:t>没有重大违法记录的书面声明</w:t>
      </w:r>
    </w:p>
    <w:p>
      <w:pPr>
        <w:spacing w:line="360" w:lineRule="auto"/>
        <w:ind w:firstLine="420" w:firstLineChars="200"/>
      </w:pPr>
    </w:p>
    <w:p>
      <w:pPr>
        <w:spacing w:line="360" w:lineRule="auto"/>
      </w:pPr>
      <w:r>
        <w:rPr>
          <w:rFonts w:hint="eastAsia"/>
        </w:rPr>
        <w:t>致________（采购人或采购代理机构）：</w:t>
      </w:r>
    </w:p>
    <w:p>
      <w:pPr>
        <w:spacing w:line="360" w:lineRule="auto"/>
        <w:ind w:firstLine="420" w:firstLineChars="200"/>
      </w:pPr>
      <w:r>
        <w:rPr>
          <w:rFonts w:hint="eastAsia"/>
        </w:rPr>
        <w:t>我单位在参加本次采购活动前三年内在经营活动中没有《政府采购法》第二十二条第一款第（五）项所称重大违法记录</w:t>
      </w:r>
      <w:r>
        <w:rPr>
          <w:rFonts w:hint="eastAsia" w:ascii="宋体" w:hAnsi="宋体" w:cs="宋体"/>
          <w:szCs w:val="21"/>
        </w:rPr>
        <w:t>（或者在参加政府采购活动前3年内因违法经营被禁止在一定期限内参加政府采购活动，期限已届满）</w:t>
      </w:r>
      <w:r>
        <w:rPr>
          <w:rFonts w:hint="eastAsia"/>
        </w:rPr>
        <w:t>，包括：</w:t>
      </w:r>
    </w:p>
    <w:p>
      <w:pPr>
        <w:spacing w:line="360" w:lineRule="auto"/>
        <w:ind w:firstLine="420" w:firstLineChars="200"/>
      </w:pPr>
      <w:r>
        <w:rPr>
          <w:rFonts w:hint="eastAsia"/>
        </w:rPr>
        <w:t>我单位未因经营活动中的违法行为受到刑事处罚或者责令停产停业、吊销许可证或者执照、较大数额罚款等行政处罚。</w:t>
      </w:r>
    </w:p>
    <w:p>
      <w:pPr>
        <w:spacing w:line="360" w:lineRule="auto"/>
        <w:ind w:firstLine="420" w:firstLineChars="200"/>
      </w:pPr>
      <w:r>
        <w:rPr>
          <w:rFonts w:hint="eastAsia"/>
        </w:rPr>
        <w:t>特此声明！</w:t>
      </w:r>
    </w:p>
    <w:p>
      <w:pPr>
        <w:spacing w:line="360" w:lineRule="auto"/>
        <w:ind w:firstLine="420" w:firstLineChars="200"/>
      </w:pPr>
    </w:p>
    <w:p>
      <w:pPr>
        <w:spacing w:line="360" w:lineRule="auto"/>
        <w:ind w:firstLine="420" w:firstLineChars="200"/>
      </w:pPr>
      <w:r>
        <w:rPr>
          <w:rFonts w:hint="eastAsia"/>
        </w:rPr>
        <w:t>（请投标人根据实际情况如实声明，否则视为提供虚假材料。）</w:t>
      </w:r>
    </w:p>
    <w:p>
      <w:pPr>
        <w:spacing w:line="360" w:lineRule="auto"/>
        <w:ind w:firstLine="420" w:firstLineChars="200"/>
      </w:pPr>
    </w:p>
    <w:p>
      <w:pPr>
        <w:spacing w:line="360" w:lineRule="auto"/>
        <w:ind w:firstLine="420" w:firstLineChars="200"/>
      </w:pPr>
      <w:r>
        <w:rPr>
          <w:rFonts w:hint="eastAsia"/>
        </w:rPr>
        <w:t>投标人</w:t>
      </w:r>
      <w:r>
        <w:t>（全称并加盖公章</w:t>
      </w:r>
      <w:r>
        <w:rPr>
          <w:rFonts w:hint="eastAsia"/>
        </w:rPr>
        <w:t xml:space="preserve">）：             </w:t>
      </w:r>
    </w:p>
    <w:p>
      <w:pPr>
        <w:spacing w:line="360" w:lineRule="auto"/>
        <w:ind w:firstLine="420" w:firstLineChars="200"/>
      </w:pPr>
      <w:r>
        <w:rPr>
          <w:rFonts w:hint="eastAsia"/>
        </w:rPr>
        <w:t xml:space="preserve">投标人代表（签字或盖章）：             </w:t>
      </w:r>
    </w:p>
    <w:p>
      <w:pPr>
        <w:spacing w:line="360" w:lineRule="auto"/>
        <w:ind w:firstLine="420" w:firstLineChars="200"/>
      </w:pPr>
      <w:r>
        <w:rPr>
          <w:rFonts w:hint="eastAsia"/>
        </w:rPr>
        <w:t xml:space="preserve">日期：                                 </w:t>
      </w:r>
    </w:p>
    <w:p>
      <w:pPr>
        <w:widowControl/>
        <w:jc w:val="center"/>
        <w:rPr>
          <w:b/>
          <w:bCs/>
          <w:sz w:val="28"/>
          <w:szCs w:val="28"/>
        </w:rPr>
      </w:pPr>
      <w:r>
        <w:rPr>
          <w:rFonts w:hAnsi="宋体" w:cs="宋体"/>
          <w:szCs w:val="21"/>
        </w:rPr>
        <w:br w:type="page"/>
      </w:r>
      <w:r>
        <w:rPr>
          <w:rFonts w:ascii="Times New Roman" w:hAnsi="Times New Roman"/>
          <w:b/>
          <w:bCs/>
          <w:sz w:val="28"/>
          <w:szCs w:val="28"/>
        </w:rPr>
        <w:t>5-</w:t>
      </w:r>
      <w:r>
        <w:rPr>
          <w:rFonts w:hint="eastAsia"/>
          <w:b/>
          <w:bCs/>
          <w:sz w:val="28"/>
          <w:szCs w:val="28"/>
        </w:rPr>
        <w:t>7营业执照</w:t>
      </w:r>
    </w:p>
    <w:p>
      <w:pPr>
        <w:rPr>
          <w:b/>
          <w:bCs/>
          <w:sz w:val="28"/>
          <w:szCs w:val="28"/>
        </w:rPr>
      </w:pPr>
      <w:r>
        <w:rPr>
          <w:rFonts w:hint="eastAsia"/>
          <w:b/>
          <w:bCs/>
          <w:sz w:val="28"/>
          <w:szCs w:val="28"/>
        </w:rPr>
        <w:br w:type="page"/>
      </w:r>
    </w:p>
    <w:p>
      <w:pPr>
        <w:widowControl/>
        <w:jc w:val="center"/>
        <w:rPr>
          <w:rFonts w:hint="eastAsia" w:ascii="宋体" w:hAnsi="宋体" w:cs="宋体"/>
          <w:b/>
          <w:bCs/>
          <w:sz w:val="28"/>
          <w:szCs w:val="28"/>
        </w:rPr>
      </w:pPr>
      <w:r>
        <w:rPr>
          <w:rFonts w:ascii="Times New Roman" w:hAnsi="Times New Roman"/>
          <w:b/>
          <w:bCs/>
          <w:sz w:val="28"/>
          <w:szCs w:val="28"/>
        </w:rPr>
        <w:t>5-</w:t>
      </w:r>
      <w:r>
        <w:rPr>
          <w:rFonts w:hint="eastAsia"/>
          <w:b/>
          <w:bCs/>
          <w:sz w:val="28"/>
          <w:szCs w:val="28"/>
        </w:rPr>
        <w:t>8</w:t>
      </w:r>
      <w:r>
        <w:rPr>
          <w:rFonts w:ascii="Times New Roman" w:hAnsi="Times New Roman"/>
          <w:b/>
          <w:bCs/>
          <w:sz w:val="28"/>
          <w:szCs w:val="28"/>
        </w:rPr>
        <w:t>具备法律、行政法规规定的其他条件的证明材料</w:t>
      </w:r>
    </w:p>
    <w:p>
      <w:pPr>
        <w:spacing w:line="360" w:lineRule="auto"/>
        <w:ind w:firstLine="420" w:firstLineChars="200"/>
        <w:jc w:val="left"/>
        <w:rPr>
          <w:rFonts w:hint="eastAsia" w:ascii="宋体" w:hAnsi="宋体"/>
          <w:kern w:val="0"/>
          <w:szCs w:val="21"/>
        </w:rPr>
      </w:pPr>
      <w:r>
        <w:rPr>
          <w:rFonts w:hint="eastAsia" w:ascii="宋体" w:hAnsi="宋体"/>
          <w:kern w:val="0"/>
          <w:szCs w:val="21"/>
        </w:rPr>
        <w:t>根据资格条件要求提供相应材料。</w:t>
      </w:r>
    </w:p>
    <w:p>
      <w:pPr>
        <w:widowControl/>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5-</w:t>
      </w:r>
      <w:r>
        <w:rPr>
          <w:rFonts w:hint="eastAsia"/>
          <w:b/>
          <w:bCs/>
          <w:sz w:val="28"/>
          <w:szCs w:val="28"/>
        </w:rPr>
        <w:t>9</w:t>
      </w:r>
      <w:r>
        <w:rPr>
          <w:rFonts w:ascii="Times New Roman" w:hAnsi="Times New Roman"/>
          <w:b/>
          <w:bCs/>
          <w:sz w:val="28"/>
          <w:szCs w:val="28"/>
        </w:rPr>
        <w:t>联合体协议（若有）</w:t>
      </w:r>
    </w:p>
    <w:p>
      <w:pPr>
        <w:pStyle w:val="11"/>
        <w:topLinePunct/>
        <w:autoSpaceDE w:val="0"/>
        <w:autoSpaceDN w:val="0"/>
        <w:snapToGrid w:val="0"/>
        <w:spacing w:line="360" w:lineRule="auto"/>
        <w:jc w:val="center"/>
        <w:rPr>
          <w:rFonts w:hint="eastAsia" w:hAnsi="宋体" w:cs="宋体"/>
          <w:b/>
          <w:w w:val="150"/>
          <w:sz w:val="24"/>
        </w:rPr>
      </w:pPr>
    </w:p>
    <w:p>
      <w:pPr>
        <w:spacing w:line="360" w:lineRule="auto"/>
        <w:rPr>
          <w:rFonts w:ascii="Times New Roman" w:hAnsi="Times New Roman"/>
        </w:rPr>
      </w:pPr>
      <w:r>
        <w:rPr>
          <w:rFonts w:ascii="Times New Roman" w:hAnsi="Times New Roman"/>
        </w:rPr>
        <w:t>致________（采购人或采购代理机构）：</w:t>
      </w:r>
    </w:p>
    <w:p>
      <w:pPr>
        <w:spacing w:line="360" w:lineRule="auto"/>
        <w:ind w:firstLine="420" w:firstLineChars="200"/>
        <w:rPr>
          <w:rFonts w:ascii="Times New Roman" w:hAnsi="Times New Roman"/>
          <w:szCs w:val="21"/>
        </w:rPr>
      </w:pPr>
      <w:r>
        <w:rPr>
          <w:rFonts w:ascii="Times New Roman" w:hAnsi="Times New Roman"/>
          <w:szCs w:val="21"/>
        </w:rPr>
        <w:t>经研究，我方决定自愿组成联合体共同参加____________(项目名称、项目编号)项目的投标。现就联合体投标事宜订立如下协议：</w:t>
      </w:r>
    </w:p>
    <w:p>
      <w:pPr>
        <w:spacing w:line="360" w:lineRule="auto"/>
        <w:ind w:firstLine="420" w:firstLineChars="200"/>
        <w:rPr>
          <w:rFonts w:ascii="Times New Roman" w:hAnsi="Times New Roman"/>
          <w:szCs w:val="21"/>
        </w:rPr>
      </w:pPr>
      <w:r>
        <w:rPr>
          <w:rFonts w:ascii="Times New Roman" w:hAnsi="Times New Roman"/>
          <w:szCs w:val="21"/>
        </w:rPr>
        <w:t>一、联合体成员：</w:t>
      </w:r>
    </w:p>
    <w:p>
      <w:pPr>
        <w:spacing w:line="360" w:lineRule="auto"/>
        <w:ind w:firstLine="420" w:firstLineChars="200"/>
        <w:rPr>
          <w:rFonts w:ascii="Times New Roman" w:hAnsi="Times New Roman"/>
          <w:szCs w:val="21"/>
        </w:rPr>
      </w:pPr>
      <w:r>
        <w:rPr>
          <w:rFonts w:ascii="Times New Roman" w:hAnsi="Times New Roman"/>
          <w:szCs w:val="21"/>
        </w:rPr>
        <w:t>1.____________________</w:t>
      </w:r>
    </w:p>
    <w:p>
      <w:pPr>
        <w:spacing w:line="360" w:lineRule="auto"/>
        <w:ind w:firstLine="420" w:firstLineChars="200"/>
        <w:rPr>
          <w:rFonts w:ascii="Times New Roman" w:hAnsi="Times New Roman"/>
          <w:szCs w:val="21"/>
        </w:rPr>
      </w:pPr>
      <w:r>
        <w:rPr>
          <w:rFonts w:ascii="Times New Roman" w:hAnsi="Times New Roman"/>
          <w:szCs w:val="21"/>
        </w:rPr>
        <w:t>2.____________________</w:t>
      </w:r>
    </w:p>
    <w:p>
      <w:pPr>
        <w:spacing w:line="360" w:lineRule="auto"/>
        <w:ind w:firstLine="420" w:firstLineChars="200"/>
        <w:rPr>
          <w:rFonts w:ascii="Times New Roman" w:hAnsi="Times New Roman"/>
          <w:szCs w:val="21"/>
        </w:rPr>
      </w:pPr>
      <w:r>
        <w:rPr>
          <w:rFonts w:ascii="Times New Roman" w:hAnsi="Times New Roman"/>
          <w:szCs w:val="21"/>
        </w:rPr>
        <w:t>3.____________________</w:t>
      </w:r>
    </w:p>
    <w:p>
      <w:pPr>
        <w:spacing w:line="360" w:lineRule="auto"/>
        <w:ind w:firstLine="420" w:firstLineChars="200"/>
        <w:rPr>
          <w:rFonts w:hint="eastAsia" w:ascii="宋体" w:hAnsi="宋体"/>
          <w:szCs w:val="21"/>
        </w:rPr>
      </w:pPr>
      <w:r>
        <w:rPr>
          <w:rFonts w:ascii="Times New Roman" w:hAnsi="Times New Roman"/>
          <w:szCs w:val="21"/>
        </w:rPr>
        <w:t>二、____________(某成员单位名称)为____________(联合</w:t>
      </w:r>
      <w:r>
        <w:rPr>
          <w:rFonts w:hint="eastAsia" w:ascii="宋体" w:hAnsi="宋体"/>
          <w:szCs w:val="21"/>
        </w:rPr>
        <w:t>体名称)牵头人。</w:t>
      </w:r>
    </w:p>
    <w:p>
      <w:pPr>
        <w:spacing w:line="360" w:lineRule="auto"/>
        <w:ind w:firstLine="420" w:firstLineChars="200"/>
        <w:rPr>
          <w:rFonts w:hint="eastAsia" w:ascii="宋体" w:hAnsi="宋体"/>
          <w:szCs w:val="21"/>
        </w:rPr>
      </w:pPr>
      <w:r>
        <w:rPr>
          <w:rFonts w:hint="eastAsia" w:ascii="宋体" w:hAnsi="宋体"/>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四、联合体将严格按照招标文件的各项要求，递交投标文件，参加投标，履行中标义务和中标后的合同，并向采购人承担连带责任。</w:t>
      </w:r>
    </w:p>
    <w:p>
      <w:pPr>
        <w:spacing w:line="360" w:lineRule="auto"/>
        <w:ind w:firstLine="420" w:firstLineChars="200"/>
        <w:rPr>
          <w:rFonts w:hint="eastAsia" w:ascii="宋体" w:hAnsi="宋体"/>
          <w:szCs w:val="21"/>
        </w:rPr>
      </w:pPr>
      <w:r>
        <w:rPr>
          <w:rFonts w:hint="eastAsia" w:ascii="宋体" w:hAnsi="宋体"/>
          <w:szCs w:val="21"/>
        </w:rPr>
        <w:t>五、联合体各成员单位内部的职责分工如下：____________。按照本条上述分工，联合体成员单位各自所承担的合同工作量比例如下：____________。</w:t>
      </w:r>
    </w:p>
    <w:p>
      <w:pPr>
        <w:spacing w:line="360" w:lineRule="auto"/>
        <w:ind w:firstLine="420" w:firstLineChars="200"/>
        <w:rPr>
          <w:rFonts w:hint="eastAsia" w:ascii="宋体" w:hAnsi="宋体"/>
          <w:szCs w:val="21"/>
        </w:rPr>
      </w:pPr>
      <w:r>
        <w:rPr>
          <w:rFonts w:hint="eastAsia" w:ascii="宋体" w:hAnsi="宋体"/>
          <w:szCs w:val="21"/>
        </w:rPr>
        <w:t>六、本协议书自签署之日起生效，合同履行完毕后自动失效。</w:t>
      </w:r>
    </w:p>
    <w:p>
      <w:pPr>
        <w:spacing w:line="360" w:lineRule="auto"/>
        <w:ind w:firstLine="420" w:firstLineChars="200"/>
        <w:rPr>
          <w:rFonts w:hint="eastAsia" w:ascii="宋体" w:hAnsi="宋体"/>
          <w:szCs w:val="21"/>
        </w:rPr>
      </w:pPr>
      <w:r>
        <w:rPr>
          <w:rFonts w:hint="eastAsia" w:ascii="宋体" w:hAnsi="宋体"/>
          <w:szCs w:val="21"/>
        </w:rPr>
        <w:t>七、本协议书一式______份，联合体成员和采购人各执一份。</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牵头人名称(公章)：____________</w:t>
      </w:r>
    </w:p>
    <w:p>
      <w:pPr>
        <w:spacing w:line="360" w:lineRule="auto"/>
        <w:ind w:firstLine="420" w:firstLineChars="200"/>
        <w:rPr>
          <w:rFonts w:hint="eastAsia" w:ascii="宋体" w:hAnsi="宋体"/>
          <w:szCs w:val="21"/>
        </w:rPr>
      </w:pPr>
      <w:r>
        <w:rPr>
          <w:rFonts w:hint="eastAsia" w:ascii="宋体" w:hAnsi="宋体"/>
          <w:szCs w:val="21"/>
        </w:rPr>
        <w:t>法定代表人或其授权代表(签字或盖章)：____________</w:t>
      </w:r>
    </w:p>
    <w:p>
      <w:pPr>
        <w:spacing w:line="360" w:lineRule="auto"/>
        <w:ind w:firstLine="420" w:firstLineChars="200"/>
        <w:rPr>
          <w:rFonts w:hint="eastAsia" w:ascii="宋体" w:hAnsi="宋体"/>
          <w:szCs w:val="21"/>
        </w:rPr>
      </w:pPr>
      <w:r>
        <w:rPr>
          <w:rFonts w:hint="eastAsia" w:ascii="宋体" w:hAnsi="宋体"/>
          <w:szCs w:val="21"/>
        </w:rPr>
        <w:t>成员名称(公章)：____________</w:t>
      </w:r>
    </w:p>
    <w:p>
      <w:pPr>
        <w:spacing w:line="360" w:lineRule="auto"/>
        <w:ind w:firstLine="420" w:firstLineChars="200"/>
        <w:rPr>
          <w:rFonts w:hint="eastAsia" w:ascii="宋体" w:hAnsi="宋体"/>
          <w:szCs w:val="21"/>
        </w:rPr>
      </w:pPr>
      <w:r>
        <w:rPr>
          <w:rFonts w:hint="eastAsia" w:ascii="宋体" w:hAnsi="宋体"/>
          <w:szCs w:val="21"/>
        </w:rPr>
        <w:t>法定代表人或其授权代表(签字或盖章)：____________</w:t>
      </w:r>
    </w:p>
    <w:p>
      <w:pPr>
        <w:spacing w:line="360" w:lineRule="auto"/>
        <w:ind w:firstLine="420" w:firstLineChars="200"/>
        <w:rPr>
          <w:rFonts w:hint="eastAsia" w:ascii="宋体" w:hAnsi="宋体"/>
          <w:szCs w:val="21"/>
        </w:rPr>
      </w:pPr>
    </w:p>
    <w:p>
      <w:pPr>
        <w:spacing w:line="360" w:lineRule="auto"/>
        <w:ind w:firstLine="420" w:firstLineChars="200"/>
        <w:jc w:val="right"/>
        <w:rPr>
          <w:rFonts w:hint="eastAsia" w:ascii="宋体" w:hAnsi="宋体"/>
          <w:szCs w:val="21"/>
        </w:rPr>
      </w:pPr>
      <w:r>
        <w:rPr>
          <w:rFonts w:hint="eastAsia" w:ascii="宋体" w:hAnsi="宋体"/>
          <w:szCs w:val="21"/>
        </w:rPr>
        <w:t>______年____月____日</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备注：本协议书由授权代表签字的，应附法定代表人签字的授权委托书。</w:t>
      </w:r>
    </w:p>
    <w:p>
      <w:pPr>
        <w:widowControl/>
        <w:jc w:val="center"/>
        <w:rPr>
          <w:rFonts w:ascii="Times New Roman" w:hAnsi="Times New Roman"/>
          <w:b/>
          <w:bCs/>
          <w:sz w:val="28"/>
          <w:szCs w:val="28"/>
        </w:rPr>
      </w:pPr>
      <w:r>
        <w:rPr>
          <w:rFonts w:hAnsi="宋体" w:cs="宋体"/>
          <w:szCs w:val="21"/>
        </w:rPr>
        <w:br w:type="page"/>
      </w:r>
      <w:r>
        <w:rPr>
          <w:rFonts w:ascii="Times New Roman" w:hAnsi="Times New Roman"/>
          <w:b/>
          <w:bCs/>
          <w:sz w:val="28"/>
          <w:szCs w:val="28"/>
        </w:rPr>
        <w:t>5-</w:t>
      </w:r>
      <w:r>
        <w:rPr>
          <w:rFonts w:hint="eastAsia"/>
          <w:b/>
          <w:bCs/>
          <w:sz w:val="28"/>
          <w:szCs w:val="28"/>
        </w:rPr>
        <w:t>10</w:t>
      </w:r>
      <w:r>
        <w:rPr>
          <w:rFonts w:ascii="Times New Roman" w:hAnsi="Times New Roman"/>
          <w:b/>
          <w:bCs/>
          <w:sz w:val="28"/>
          <w:szCs w:val="28"/>
        </w:rPr>
        <w:t>其他资格证明文件（若有）</w:t>
      </w:r>
    </w:p>
    <w:p/>
    <w:p>
      <w:pPr>
        <w:spacing w:line="360" w:lineRule="auto"/>
        <w:ind w:firstLine="420" w:firstLineChars="200"/>
        <w:jc w:val="left"/>
        <w:rPr>
          <w:rFonts w:hint="eastAsia" w:ascii="宋体" w:hAnsi="宋体"/>
          <w:kern w:val="0"/>
          <w:szCs w:val="21"/>
        </w:rPr>
      </w:pPr>
      <w:r>
        <w:rPr>
          <w:rFonts w:hint="eastAsia" w:ascii="宋体" w:hAnsi="宋体"/>
          <w:kern w:val="0"/>
          <w:szCs w:val="21"/>
        </w:rPr>
        <w:t>根据资格条件要求提供相应材料。</w:t>
      </w:r>
    </w:p>
    <w:p>
      <w:pPr>
        <w:rPr>
          <w:rFonts w:hint="eastAsia" w:ascii="宋体" w:hAnsi="宋体" w:cs="宋体"/>
          <w:sz w:val="24"/>
        </w:rPr>
      </w:pPr>
    </w:p>
    <w:p>
      <w:pPr>
        <w:snapToGrid w:val="0"/>
        <w:spacing w:line="360" w:lineRule="auto"/>
        <w:jc w:val="center"/>
        <w:rPr>
          <w:rFonts w:hint="eastAsia"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格式6  中小企业声明函</w:t>
      </w:r>
    </w:p>
    <w:p>
      <w:pPr>
        <w:widowControl/>
        <w:jc w:val="center"/>
        <w:rPr>
          <w:rFonts w:hint="eastAsia" w:ascii="宋体" w:hAnsi="宋体" w:cs="宋体"/>
          <w:b/>
          <w:bCs/>
          <w:sz w:val="28"/>
          <w:szCs w:val="28"/>
        </w:rPr>
      </w:pPr>
      <w:r>
        <w:rPr>
          <w:rFonts w:hint="eastAsia" w:ascii="宋体" w:hAnsi="宋体" w:cs="宋体"/>
          <w:b/>
          <w:bCs/>
          <w:sz w:val="28"/>
          <w:szCs w:val="28"/>
        </w:rPr>
        <w:t>中小企业声明函（服务）</w:t>
      </w:r>
    </w:p>
    <w:p>
      <w:pPr>
        <w:widowControl/>
        <w:spacing w:line="360" w:lineRule="auto"/>
        <w:ind w:firstLine="480" w:firstLineChars="200"/>
        <w:jc w:val="left"/>
        <w:rPr>
          <w:rFonts w:hint="eastAsia" w:ascii="宋体" w:hAnsi="宋体" w:cs="宋体"/>
          <w:kern w:val="0"/>
          <w:sz w:val="24"/>
        </w:rPr>
      </w:pPr>
    </w:p>
    <w:p>
      <w:pPr>
        <w:pStyle w:val="11"/>
        <w:snapToGrid w:val="0"/>
        <w:spacing w:line="360" w:lineRule="auto"/>
        <w:ind w:firstLine="420" w:firstLineChars="200"/>
        <w:rPr>
          <w:rFonts w:ascii="Times New Roman" w:hAnsi="Times New Roman" w:cs="Times New Roman"/>
        </w:rPr>
      </w:pPr>
      <w:r>
        <w:rPr>
          <w:rFonts w:ascii="Times New Roman" w:hAnsi="Times New Roman" w:cs="Times New Roman"/>
        </w:rPr>
        <w:t>本公司（联合体）郑重声明，根据《政府采购促进中小企业发展管理办法》（财库﹝2020﹞46 号）的规定，本公司（联合体）参加</w:t>
      </w:r>
      <w:r>
        <w:rPr>
          <w:rFonts w:ascii="Times New Roman" w:hAnsi="Times New Roman" w:cs="Times New Roman"/>
          <w:i/>
          <w:iCs/>
          <w:u w:val="single"/>
        </w:rPr>
        <w:t>（单位名称）</w:t>
      </w:r>
      <w:r>
        <w:rPr>
          <w:rFonts w:ascii="Times New Roman" w:hAnsi="Times New Roman" w:cs="Times New Roman"/>
        </w:rPr>
        <w:t>的</w:t>
      </w:r>
      <w:r>
        <w:rPr>
          <w:rFonts w:ascii="Times New Roman" w:hAnsi="Times New Roman" w:cs="Times New Roman"/>
          <w:i/>
          <w:iCs/>
          <w:u w:val="single"/>
        </w:rPr>
        <w:t>（项目名称）</w:t>
      </w:r>
      <w:r>
        <w:rPr>
          <w:rFonts w:ascii="Times New Roman" w:hAnsi="Times New Roman" w:cs="Times New Roman"/>
        </w:rPr>
        <w:t>采购活动，服务全部由符合政策要求的中小企业承接。相关企业（含联合体中的中小企业、签订分包意向协议的中小企业）的具体情况如下：</w:t>
      </w:r>
    </w:p>
    <w:p>
      <w:pPr>
        <w:pStyle w:val="11"/>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i/>
          <w:iCs/>
          <w:u w:val="single"/>
        </w:rPr>
        <w:t xml:space="preserve"> （标的名称） </w:t>
      </w:r>
      <w:r>
        <w:rPr>
          <w:rFonts w:ascii="Times New Roman" w:hAnsi="Times New Roman" w:cs="Times New Roman"/>
        </w:rPr>
        <w:t>，属于</w:t>
      </w:r>
      <w:r>
        <w:rPr>
          <w:rFonts w:ascii="Times New Roman" w:hAnsi="Times New Roman" w:cs="Times New Roman"/>
          <w:i/>
          <w:iCs/>
          <w:u w:val="single"/>
        </w:rPr>
        <w:t>（采购文件中明确的所属行业）</w:t>
      </w:r>
      <w:r>
        <w:rPr>
          <w:rFonts w:ascii="Times New Roman" w:hAnsi="Times New Roman" w:cs="Times New Roman"/>
        </w:rPr>
        <w:t>；承建（承接）企业为</w:t>
      </w:r>
      <w:r>
        <w:rPr>
          <w:rFonts w:ascii="Times New Roman" w:hAnsi="Times New Roman" w:cs="Times New Roman"/>
          <w:i/>
          <w:iCs/>
          <w:u w:val="single"/>
        </w:rPr>
        <w:t>（企业名称）</w:t>
      </w:r>
      <w:r>
        <w:rPr>
          <w:rFonts w:ascii="Times New Roman" w:hAnsi="Times New Roman" w:cs="Times New Roman"/>
        </w:rPr>
        <w:t>，从业人员</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万元</w:t>
      </w:r>
      <w:r>
        <w:rPr>
          <w:rFonts w:ascii="Times New Roman" w:hAnsi="Times New Roman" w:cs="Times New Roman"/>
          <w:vertAlign w:val="superscript"/>
        </w:rPr>
        <w:t>1</w:t>
      </w:r>
      <w:r>
        <w:rPr>
          <w:rFonts w:ascii="Times New Roman" w:hAnsi="Times New Roman" w:cs="Times New Roman"/>
        </w:rPr>
        <w:t>，属于</w:t>
      </w:r>
      <w:r>
        <w:rPr>
          <w:rFonts w:ascii="Times New Roman" w:hAnsi="Times New Roman" w:cs="Times New Roman"/>
          <w:i/>
          <w:iCs/>
          <w:u w:val="single"/>
        </w:rPr>
        <w:t>（中型企业、小型企业、微型企业）</w:t>
      </w:r>
      <w:r>
        <w:rPr>
          <w:rFonts w:ascii="Times New Roman" w:hAnsi="Times New Roman" w:cs="Times New Roman"/>
        </w:rPr>
        <w:t xml:space="preserve">； </w:t>
      </w:r>
    </w:p>
    <w:p>
      <w:pPr>
        <w:pStyle w:val="11"/>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i/>
          <w:iCs/>
          <w:u w:val="single"/>
        </w:rPr>
        <w:t xml:space="preserve"> （标的名称） </w:t>
      </w:r>
      <w:r>
        <w:rPr>
          <w:rFonts w:ascii="Times New Roman" w:hAnsi="Times New Roman" w:cs="Times New Roman"/>
        </w:rPr>
        <w:t>，属于</w:t>
      </w:r>
      <w:r>
        <w:rPr>
          <w:rFonts w:ascii="Times New Roman" w:hAnsi="Times New Roman" w:cs="Times New Roman"/>
          <w:i/>
          <w:iCs/>
          <w:u w:val="single"/>
        </w:rPr>
        <w:t>（采购文件中明确的所属行业）</w:t>
      </w:r>
      <w:r>
        <w:rPr>
          <w:rFonts w:ascii="Times New Roman" w:hAnsi="Times New Roman" w:cs="Times New Roman"/>
        </w:rPr>
        <w:t>；承建（承接）企业为</w:t>
      </w:r>
      <w:r>
        <w:rPr>
          <w:rFonts w:ascii="Times New Roman" w:hAnsi="Times New Roman" w:cs="Times New Roman"/>
          <w:i/>
          <w:iCs/>
          <w:u w:val="single"/>
        </w:rPr>
        <w:t>（企业名称）</w:t>
      </w:r>
      <w:r>
        <w:rPr>
          <w:rFonts w:ascii="Times New Roman" w:hAnsi="Times New Roman" w:cs="Times New Roman"/>
        </w:rPr>
        <w:t>，从业人员</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万元</w:t>
      </w:r>
      <w:r>
        <w:rPr>
          <w:rFonts w:ascii="Times New Roman" w:hAnsi="Times New Roman" w:cs="Times New Roman"/>
          <w:vertAlign w:val="superscript"/>
        </w:rPr>
        <w:t>1</w:t>
      </w:r>
      <w:r>
        <w:rPr>
          <w:rFonts w:ascii="Times New Roman" w:hAnsi="Times New Roman" w:cs="Times New Roman"/>
        </w:rPr>
        <w:t>，属于</w:t>
      </w:r>
      <w:r>
        <w:rPr>
          <w:rFonts w:ascii="Times New Roman" w:hAnsi="Times New Roman" w:cs="Times New Roman"/>
          <w:i/>
          <w:iCs/>
          <w:u w:val="single"/>
        </w:rPr>
        <w:t>（中型企业、小型企业、微型企业）</w:t>
      </w:r>
      <w:r>
        <w:rPr>
          <w:rFonts w:ascii="Times New Roman" w:hAnsi="Times New Roman" w:cs="Times New Roman"/>
        </w:rPr>
        <w:t xml:space="preserve">； </w:t>
      </w:r>
    </w:p>
    <w:p>
      <w:pPr>
        <w:pStyle w:val="11"/>
        <w:snapToGrid w:val="0"/>
        <w:spacing w:line="360" w:lineRule="auto"/>
        <w:ind w:firstLine="420" w:firstLineChars="200"/>
        <w:rPr>
          <w:rFonts w:ascii="Times New Roman" w:hAnsi="Times New Roman" w:cs="Times New Roman"/>
        </w:rPr>
      </w:pPr>
      <w:r>
        <w:rPr>
          <w:rFonts w:ascii="Times New Roman" w:hAnsi="Times New Roman" w:cs="Times New Roman"/>
        </w:rPr>
        <w:t>……</w:t>
      </w:r>
    </w:p>
    <w:p>
      <w:pPr>
        <w:pStyle w:val="11"/>
        <w:snapToGrid w:val="0"/>
        <w:spacing w:line="360" w:lineRule="auto"/>
        <w:ind w:firstLine="420" w:firstLineChars="200"/>
        <w:rPr>
          <w:rFonts w:ascii="Times New Roman" w:hAnsi="Times New Roman" w:cs="Times New Roman"/>
        </w:rPr>
      </w:pPr>
      <w:r>
        <w:rPr>
          <w:rFonts w:ascii="Times New Roman" w:hAnsi="Times New Roman" w:cs="Times New Roman"/>
        </w:rPr>
        <w:t>以上企业，不属于大企业的分支机构，不存在控股股东为大企业的情形，也不存在与大企业的负责人为同一人的情形。</w:t>
      </w:r>
    </w:p>
    <w:p>
      <w:pPr>
        <w:pStyle w:val="11"/>
        <w:snapToGrid w:val="0"/>
        <w:spacing w:line="360" w:lineRule="auto"/>
        <w:ind w:firstLine="420" w:firstLineChars="200"/>
        <w:rPr>
          <w:rFonts w:ascii="Times New Roman" w:hAnsi="Times New Roman" w:cs="Times New Roman"/>
        </w:rPr>
      </w:pPr>
      <w:r>
        <w:rPr>
          <w:rFonts w:ascii="Times New Roman" w:hAnsi="Times New Roman" w:cs="Times New Roman"/>
        </w:rPr>
        <w:t xml:space="preserve">本企业对上述声明内容的真实性负责。如有虚假，将依法承担相应责任。 </w:t>
      </w:r>
    </w:p>
    <w:p>
      <w:pPr>
        <w:pStyle w:val="11"/>
        <w:snapToGrid w:val="0"/>
        <w:spacing w:line="360" w:lineRule="auto"/>
        <w:ind w:firstLine="420" w:firstLineChars="200"/>
        <w:rPr>
          <w:rFonts w:ascii="Times New Roman" w:hAnsi="Times New Roman" w:cs="Times New Roman"/>
        </w:rPr>
      </w:pPr>
    </w:p>
    <w:p>
      <w:pPr>
        <w:pStyle w:val="11"/>
        <w:snapToGrid w:val="0"/>
        <w:spacing w:line="360" w:lineRule="auto"/>
        <w:ind w:firstLine="420" w:firstLineChars="200"/>
        <w:rPr>
          <w:rFonts w:ascii="Times New Roman" w:hAnsi="Times New Roman" w:cs="Times New Roman"/>
        </w:rPr>
      </w:pP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投标人</w:t>
      </w:r>
      <w:r>
        <w:rPr>
          <w:rFonts w:ascii="Times New Roman" w:hAnsi="Times New Roman"/>
          <w:kern w:val="0"/>
          <w:szCs w:val="21"/>
        </w:rPr>
        <w:t>（全称并加盖公章</w:t>
      </w:r>
      <w:r>
        <w:rPr>
          <w:rFonts w:ascii="Times New Roman" w:hAnsi="Times New Roman"/>
          <w:szCs w:val="21"/>
        </w:rPr>
        <w:t>）：</w:t>
      </w:r>
      <w:r>
        <w:rPr>
          <w:rFonts w:ascii="Times New Roman" w:hAnsi="Times New Roman"/>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pPr>
        <w:pStyle w:val="11"/>
        <w:snapToGrid w:val="0"/>
        <w:spacing w:line="360" w:lineRule="auto"/>
        <w:ind w:firstLine="480" w:firstLineChars="200"/>
        <w:rPr>
          <w:rFonts w:hint="eastAsia" w:hAnsi="宋体" w:cs="宋体"/>
          <w:sz w:val="24"/>
          <w:szCs w:val="24"/>
        </w:rPr>
      </w:pPr>
    </w:p>
    <w:p>
      <w:pPr>
        <w:pStyle w:val="11"/>
        <w:snapToGrid w:val="0"/>
        <w:spacing w:line="360" w:lineRule="auto"/>
        <w:ind w:firstLine="480" w:firstLineChars="200"/>
        <w:rPr>
          <w:rFonts w:hint="eastAsia" w:hAnsi="宋体" w:cs="宋体"/>
          <w:sz w:val="24"/>
          <w:szCs w:val="24"/>
        </w:rPr>
      </w:pPr>
    </w:p>
    <w:p>
      <w:pPr>
        <w:widowControl/>
      </w:pPr>
    </w:p>
    <w:p>
      <w:pPr>
        <w:widowControl/>
        <w:jc w:val="left"/>
      </w:pPr>
      <w:r>
        <w:rPr>
          <w:rFonts w:ascii="宋体" w:hAnsi="宋体" w:cs="宋体"/>
          <w:kern w:val="0"/>
          <w:sz w:val="18"/>
          <w:szCs w:val="18"/>
        </w:rPr>
        <w:t>1</w:t>
      </w:r>
      <w:r>
        <w:rPr>
          <w:rFonts w:hint="eastAsia" w:ascii="宋体" w:hAnsi="宋体" w:cs="宋体"/>
          <w:kern w:val="0"/>
          <w:sz w:val="18"/>
          <w:szCs w:val="18"/>
        </w:rPr>
        <w:t>从业人员、营业收入、资产总额填报上一年度数据，无上一年度数据的新成立企业可不填报。</w:t>
      </w:r>
    </w:p>
    <w:p>
      <w:pPr>
        <w:pStyle w:val="11"/>
        <w:snapToGrid w:val="0"/>
        <w:spacing w:line="360" w:lineRule="auto"/>
        <w:ind w:firstLine="480" w:firstLineChars="200"/>
        <w:rPr>
          <w:rFonts w:hint="eastAsia" w:hAnsi="宋体" w:cs="宋体"/>
          <w:sz w:val="24"/>
          <w:szCs w:val="24"/>
        </w:rPr>
      </w:pPr>
    </w:p>
    <w:p>
      <w:pPr>
        <w:pStyle w:val="11"/>
        <w:topLinePunct/>
        <w:autoSpaceDE w:val="0"/>
        <w:autoSpaceDN w:val="0"/>
        <w:spacing w:line="460" w:lineRule="exact"/>
        <w:jc w:val="center"/>
        <w:rPr>
          <w:rFonts w:ascii="Times New Roman" w:hAnsi="Times New Roman" w:cs="Times New Roman"/>
          <w:b/>
          <w:bCs/>
          <w:sz w:val="28"/>
          <w:szCs w:val="28"/>
        </w:rPr>
      </w:pPr>
      <w:r>
        <w:rPr>
          <w:rFonts w:hint="eastAsia" w:cs="Times New Roman"/>
          <w:sz w:val="24"/>
        </w:rPr>
        <w:br w:type="page"/>
      </w:r>
      <w:r>
        <w:rPr>
          <w:rFonts w:ascii="Times New Roman" w:hAnsi="Times New Roman" w:cs="Times New Roman"/>
          <w:b/>
          <w:bCs/>
          <w:sz w:val="28"/>
          <w:szCs w:val="28"/>
        </w:rPr>
        <w:t>格式7  残疾人福利性单位声明函</w:t>
      </w:r>
    </w:p>
    <w:p>
      <w:pPr>
        <w:spacing w:line="588" w:lineRule="exact"/>
        <w:ind w:firstLine="444" w:firstLineChars="200"/>
        <w:rPr>
          <w:rFonts w:ascii="Times New Roman" w:hAnsi="Times New Roman"/>
          <w:spacing w:val="6"/>
          <w:szCs w:val="21"/>
        </w:rPr>
      </w:pPr>
      <w:r>
        <w:rPr>
          <w:rFonts w:ascii="Times New Roman" w:hAnsi="Times New Roman"/>
          <w:spacing w:val="6"/>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imes New Roman" w:hAnsi="Times New Roman"/>
          <w:spacing w:val="6"/>
          <w:szCs w:val="21"/>
        </w:rPr>
      </w:pPr>
      <w:r>
        <w:rPr>
          <w:rFonts w:ascii="Times New Roman" w:hAnsi="Times New Roman"/>
          <w:spacing w:val="6"/>
          <w:szCs w:val="21"/>
        </w:rPr>
        <w:t>本单位对上述声明的真实性负责。如有虚假，将依法承担相应责任。</w:t>
      </w:r>
    </w:p>
    <w:p>
      <w:pPr>
        <w:spacing w:line="588" w:lineRule="exact"/>
        <w:ind w:firstLine="444" w:firstLineChars="200"/>
        <w:rPr>
          <w:rFonts w:ascii="Times New Roman" w:hAnsi="Times New Roman"/>
          <w:spacing w:val="6"/>
          <w:szCs w:val="21"/>
        </w:rPr>
      </w:pP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投标人</w:t>
      </w:r>
      <w:r>
        <w:rPr>
          <w:rFonts w:ascii="Times New Roman" w:hAnsi="Times New Roman"/>
          <w:kern w:val="0"/>
          <w:szCs w:val="21"/>
        </w:rPr>
        <w:t>（全称并加盖公章</w:t>
      </w:r>
      <w:r>
        <w:rPr>
          <w:rFonts w:ascii="Times New Roman" w:hAnsi="Times New Roman"/>
          <w:szCs w:val="21"/>
        </w:rPr>
        <w:t>）：</w:t>
      </w:r>
      <w:r>
        <w:rPr>
          <w:rFonts w:ascii="Times New Roman" w:hAnsi="Times New Roman"/>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pPr>
        <w:topLinePunct/>
        <w:autoSpaceDE w:val="0"/>
        <w:autoSpaceDN w:val="0"/>
        <w:spacing w:line="460" w:lineRule="exact"/>
        <w:jc w:val="center"/>
        <w:rPr>
          <w:rFonts w:ascii="Times New Roman" w:hAnsi="Times New Roman"/>
          <w:spacing w:val="6"/>
          <w:szCs w:val="21"/>
        </w:rPr>
      </w:pPr>
    </w:p>
    <w:p>
      <w:pPr>
        <w:rPr>
          <w:rFonts w:hint="eastAsia" w:hAnsi="宋体" w:cs="宋体"/>
          <w:b/>
          <w:bCs/>
          <w:sz w:val="28"/>
          <w:szCs w:val="28"/>
        </w:rPr>
      </w:pPr>
    </w:p>
    <w:p>
      <w:pPr>
        <w:pStyle w:val="32"/>
        <w:tabs>
          <w:tab w:val="left" w:pos="420"/>
        </w:tabs>
        <w:snapToGrid w:val="0"/>
        <w:spacing w:line="460" w:lineRule="atLeast"/>
        <w:rPr>
          <w:rFonts w:ascii="Times New Roman" w:hAnsi="Times New Roman"/>
          <w:b/>
          <w:bCs/>
          <w:sz w:val="28"/>
          <w:szCs w:val="28"/>
        </w:rPr>
      </w:pPr>
      <w:bookmarkStart w:id="57" w:name="_Toc386861148"/>
      <w:bookmarkStart w:id="58" w:name="_Toc1403531177"/>
      <w:bookmarkStart w:id="59" w:name="_Toc38030071"/>
      <w:bookmarkStart w:id="60" w:name="_Toc113393336"/>
      <w:bookmarkStart w:id="61" w:name="_Toc1652355655"/>
      <w:bookmarkStart w:id="62" w:name="_Toc38030154"/>
      <w:r>
        <w:rPr>
          <w:rFonts w:hint="eastAsia" w:cs="宋体"/>
          <w:sz w:val="28"/>
          <w:szCs w:val="28"/>
        </w:rPr>
        <w:br w:type="page"/>
      </w:r>
      <w:bookmarkStart w:id="63" w:name="_Toc598152851"/>
      <w:bookmarkStart w:id="64" w:name="_Toc1381122819"/>
      <w:bookmarkStart w:id="65" w:name="_Toc78504842"/>
      <w:bookmarkStart w:id="66" w:name="_Toc1097421187"/>
      <w:bookmarkStart w:id="67" w:name="_Toc1749127877"/>
      <w:bookmarkStart w:id="68" w:name="_Toc220361175"/>
      <w:bookmarkStart w:id="69" w:name="_Toc680706022"/>
      <w:bookmarkStart w:id="70" w:name="_Toc681730266"/>
      <w:bookmarkStart w:id="71" w:name="_Toc1615545750"/>
      <w:r>
        <w:rPr>
          <w:rFonts w:ascii="Times New Roman" w:hAnsi="Times New Roman" w:eastAsia="宋体"/>
          <w:b/>
          <w:bCs/>
          <w:sz w:val="28"/>
          <w:szCs w:val="28"/>
        </w:rPr>
        <w:t>格式8 成功案例一览表</w:t>
      </w:r>
      <w:bookmarkEnd w:id="63"/>
      <w:bookmarkEnd w:id="64"/>
      <w:bookmarkEnd w:id="65"/>
      <w:bookmarkEnd w:id="66"/>
      <w:bookmarkEnd w:id="67"/>
      <w:bookmarkEnd w:id="68"/>
      <w:bookmarkEnd w:id="69"/>
      <w:bookmarkEnd w:id="70"/>
      <w:bookmarkEnd w:id="71"/>
    </w:p>
    <w:p>
      <w:pPr>
        <w:jc w:val="center"/>
      </w:pPr>
      <w:r>
        <w:rPr>
          <w:rFonts w:hint="eastAsia"/>
        </w:rPr>
        <w:t>（根据招标文件要求调整）</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合同主要</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用  户</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用户联</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bl>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特别说明：</w:t>
      </w:r>
      <w:r>
        <w:rPr>
          <w:rFonts w:hint="eastAsia" w:ascii="Times New Roman" w:hAnsi="Times New Roman"/>
          <w:szCs w:val="21"/>
        </w:rPr>
        <w:t>后附相关证明材料</w:t>
      </w:r>
    </w:p>
    <w:bookmarkEnd w:id="57"/>
    <w:bookmarkEnd w:id="58"/>
    <w:bookmarkEnd w:id="59"/>
    <w:bookmarkEnd w:id="60"/>
    <w:bookmarkEnd w:id="61"/>
    <w:bookmarkEnd w:id="62"/>
    <w:p>
      <w:pPr>
        <w:pStyle w:val="11"/>
        <w:topLinePunct/>
        <w:autoSpaceDE w:val="0"/>
        <w:autoSpaceDN w:val="0"/>
        <w:spacing w:line="460" w:lineRule="exact"/>
        <w:jc w:val="center"/>
        <w:rPr>
          <w:rFonts w:hint="eastAsia" w:hAnsi="宋体" w:cs="宋体"/>
          <w:b/>
          <w:bCs/>
          <w:sz w:val="36"/>
          <w:szCs w:val="36"/>
        </w:rPr>
      </w:pPr>
    </w:p>
    <w:p>
      <w:pPr>
        <w:rPr>
          <w:rFonts w:hint="eastAsia" w:hAnsi="宋体" w:cs="宋体"/>
          <w:b/>
          <w:bCs/>
          <w:sz w:val="36"/>
          <w:szCs w:val="36"/>
        </w:rPr>
      </w:pPr>
      <w:r>
        <w:rPr>
          <w:rFonts w:hint="eastAsia" w:hAnsi="宋体" w:cs="宋体"/>
          <w:b/>
          <w:bCs/>
          <w:sz w:val="36"/>
          <w:szCs w:val="36"/>
        </w:rPr>
        <w:br w:type="page"/>
      </w:r>
    </w:p>
    <w:p>
      <w:pPr>
        <w:pStyle w:val="32"/>
        <w:tabs>
          <w:tab w:val="left" w:pos="420"/>
        </w:tabs>
        <w:snapToGrid w:val="0"/>
        <w:spacing w:line="460" w:lineRule="atLeast"/>
        <w:rPr>
          <w:rFonts w:ascii="Times New Roman" w:hAnsi="Times New Roman" w:eastAsia="宋体"/>
          <w:b/>
          <w:bCs/>
          <w:sz w:val="28"/>
          <w:szCs w:val="28"/>
        </w:rPr>
      </w:pPr>
      <w:r>
        <w:rPr>
          <w:rFonts w:ascii="Times New Roman" w:hAnsi="Times New Roman" w:eastAsia="宋体"/>
          <w:b/>
          <w:bCs/>
          <w:sz w:val="28"/>
          <w:szCs w:val="28"/>
        </w:rPr>
        <w:t>格式</w:t>
      </w:r>
      <w:r>
        <w:rPr>
          <w:rFonts w:hint="eastAsia" w:ascii="Times New Roman" w:hAnsi="Times New Roman" w:eastAsia="宋体"/>
          <w:b/>
          <w:bCs/>
          <w:sz w:val="28"/>
          <w:szCs w:val="28"/>
        </w:rPr>
        <w:t>9</w:t>
      </w:r>
      <w:r>
        <w:rPr>
          <w:rFonts w:ascii="Times New Roman" w:hAnsi="Times New Roman" w:eastAsia="宋体"/>
          <w:b/>
          <w:bCs/>
          <w:sz w:val="28"/>
          <w:szCs w:val="28"/>
        </w:rPr>
        <w:t xml:space="preserve"> </w:t>
      </w:r>
      <w:r>
        <w:rPr>
          <w:rFonts w:hint="eastAsia" w:ascii="Times New Roman" w:hAnsi="Times New Roman" w:eastAsia="宋体"/>
          <w:b/>
          <w:bCs/>
          <w:sz w:val="28"/>
          <w:szCs w:val="28"/>
        </w:rPr>
        <w:t>管理体系认证</w:t>
      </w:r>
    </w:p>
    <w:p>
      <w:pPr>
        <w:rPr>
          <w:rFonts w:ascii="Times New Roman" w:hAnsi="Times New Roman"/>
          <w:b/>
          <w:bCs/>
          <w:sz w:val="28"/>
          <w:szCs w:val="28"/>
        </w:rPr>
      </w:pPr>
      <w:r>
        <w:br w:type="page"/>
      </w:r>
    </w:p>
    <w:p>
      <w:pPr>
        <w:pStyle w:val="32"/>
        <w:tabs>
          <w:tab w:val="left" w:pos="420"/>
        </w:tabs>
        <w:snapToGrid w:val="0"/>
        <w:spacing w:line="460" w:lineRule="atLeast"/>
        <w:rPr>
          <w:rFonts w:ascii="Times New Roman" w:hAnsi="Times New Roman" w:eastAsia="宋体"/>
          <w:b/>
          <w:bCs/>
          <w:sz w:val="28"/>
          <w:szCs w:val="28"/>
        </w:rPr>
      </w:pPr>
      <w:r>
        <w:rPr>
          <w:rFonts w:ascii="Times New Roman" w:hAnsi="Times New Roman" w:eastAsia="宋体"/>
          <w:b/>
          <w:bCs/>
          <w:sz w:val="28"/>
          <w:szCs w:val="28"/>
        </w:rPr>
        <w:t>格式</w:t>
      </w:r>
      <w:r>
        <w:rPr>
          <w:rFonts w:hint="eastAsia" w:ascii="Times New Roman" w:hAnsi="Times New Roman" w:eastAsia="宋体"/>
          <w:b/>
          <w:bCs/>
          <w:sz w:val="28"/>
          <w:szCs w:val="28"/>
        </w:rPr>
        <w:t>10</w:t>
      </w:r>
      <w:r>
        <w:rPr>
          <w:rFonts w:ascii="Times New Roman" w:hAnsi="Times New Roman" w:eastAsia="宋体"/>
          <w:b/>
          <w:bCs/>
          <w:sz w:val="28"/>
          <w:szCs w:val="28"/>
        </w:rPr>
        <w:t xml:space="preserve"> </w:t>
      </w:r>
      <w:r>
        <w:rPr>
          <w:rFonts w:hint="eastAsia" w:ascii="Times New Roman" w:hAnsi="Times New Roman" w:eastAsia="宋体"/>
          <w:b/>
          <w:bCs/>
          <w:sz w:val="28"/>
          <w:szCs w:val="28"/>
        </w:rPr>
        <w:t>投标人认为需要提供的其他说明和资料</w:t>
      </w:r>
    </w:p>
    <w:p>
      <w:pPr>
        <w:rPr>
          <w:rFonts w:ascii="Times New Roman" w:hAnsi="Times New Roman"/>
          <w:b/>
          <w:bCs/>
          <w:sz w:val="28"/>
          <w:szCs w:val="28"/>
        </w:rPr>
      </w:pPr>
      <w:r>
        <w:rPr>
          <w:rFonts w:ascii="Times New Roman" w:hAnsi="Times New Roman"/>
          <w:b/>
          <w:bCs/>
          <w:sz w:val="28"/>
          <w:szCs w:val="28"/>
        </w:rPr>
        <w:br w:type="page"/>
      </w:r>
    </w:p>
    <w:p>
      <w:pPr>
        <w:pStyle w:val="32"/>
        <w:tabs>
          <w:tab w:val="left" w:pos="360"/>
          <w:tab w:val="left" w:pos="816"/>
        </w:tabs>
        <w:spacing w:line="360" w:lineRule="auto"/>
        <w:ind w:firstLine="480"/>
        <w:rPr>
          <w:rFonts w:ascii="宋体" w:eastAsia="宋体"/>
          <w:sz w:val="24"/>
          <w:szCs w:val="24"/>
        </w:rPr>
      </w:pPr>
      <w:r>
        <w:rPr>
          <w:rFonts w:ascii="Times New Roman" w:hAnsi="Times New Roman" w:eastAsia="宋体"/>
          <w:b/>
          <w:bCs/>
          <w:sz w:val="28"/>
          <w:szCs w:val="28"/>
        </w:rPr>
        <w:t>格式</w:t>
      </w:r>
      <w:r>
        <w:rPr>
          <w:rFonts w:hint="eastAsia" w:ascii="Times New Roman" w:hAnsi="Times New Roman" w:eastAsia="宋体"/>
          <w:b/>
          <w:bCs/>
          <w:sz w:val="28"/>
          <w:szCs w:val="28"/>
        </w:rPr>
        <w:t>11商务因素评标内容对应表</w:t>
      </w:r>
    </w:p>
    <w:p>
      <w:pPr>
        <w:spacing w:line="440" w:lineRule="exact"/>
        <w:ind w:firstLine="178" w:firstLineChars="85"/>
        <w:rPr>
          <w:rFonts w:hint="eastAsia" w:ascii="宋体" w:hAnsi="宋体" w:cs="宋体"/>
          <w:szCs w:val="21"/>
        </w:rPr>
      </w:pPr>
      <w:r>
        <w:rPr>
          <w:rFonts w:hint="eastAsia" w:ascii="宋体" w:hAnsi="宋体" w:cs="宋体"/>
          <w:szCs w:val="21"/>
        </w:rPr>
        <w:t>投标人名称：                              招标编号：</w:t>
      </w:r>
    </w:p>
    <w:tbl>
      <w:tblPr>
        <w:tblStyle w:val="24"/>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030"/>
        <w:gridCol w:w="3168"/>
        <w:gridCol w:w="30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61" w:type="dxa"/>
            <w:gridSpan w:val="2"/>
            <w:vAlign w:val="center"/>
          </w:tcPr>
          <w:p>
            <w:pPr>
              <w:spacing w:line="440" w:lineRule="exact"/>
              <w:jc w:val="center"/>
              <w:rPr>
                <w:rFonts w:hint="eastAsia" w:ascii="宋体" w:hAnsi="宋体" w:cs="宋体"/>
                <w:szCs w:val="21"/>
              </w:rPr>
            </w:pPr>
            <w:r>
              <w:rPr>
                <w:rFonts w:hint="eastAsia" w:ascii="宋体" w:hAnsi="宋体" w:cs="宋体"/>
                <w:szCs w:val="21"/>
              </w:rPr>
              <w:t>项目</w:t>
            </w:r>
          </w:p>
        </w:tc>
        <w:tc>
          <w:tcPr>
            <w:tcW w:w="3168" w:type="dxa"/>
            <w:vAlign w:val="center"/>
          </w:tcPr>
          <w:p>
            <w:pPr>
              <w:spacing w:line="440" w:lineRule="exact"/>
              <w:jc w:val="center"/>
              <w:rPr>
                <w:rFonts w:hint="eastAsia" w:ascii="宋体" w:hAnsi="宋体" w:cs="宋体"/>
                <w:szCs w:val="21"/>
              </w:rPr>
            </w:pPr>
            <w:r>
              <w:rPr>
                <w:rFonts w:hint="eastAsia" w:ascii="宋体" w:hAnsi="宋体" w:cs="宋体"/>
                <w:szCs w:val="21"/>
              </w:rPr>
              <w:t>评标内容</w:t>
            </w:r>
          </w:p>
        </w:tc>
        <w:tc>
          <w:tcPr>
            <w:tcW w:w="3060" w:type="dxa"/>
            <w:vAlign w:val="center"/>
          </w:tcPr>
          <w:p>
            <w:pPr>
              <w:spacing w:line="440" w:lineRule="exact"/>
              <w:jc w:val="center"/>
              <w:rPr>
                <w:rFonts w:hint="eastAsia" w:ascii="宋体" w:hAnsi="宋体" w:cs="宋体"/>
                <w:szCs w:val="21"/>
              </w:rPr>
            </w:pPr>
            <w:r>
              <w:rPr>
                <w:rFonts w:hint="eastAsia" w:ascii="宋体" w:hAnsi="宋体" w:cs="宋体"/>
                <w:szCs w:val="21"/>
              </w:rPr>
              <w:t>投标文件响应情况</w:t>
            </w:r>
          </w:p>
        </w:tc>
        <w:tc>
          <w:tcPr>
            <w:tcW w:w="1160" w:type="dxa"/>
            <w:vAlign w:val="center"/>
          </w:tcPr>
          <w:p>
            <w:pPr>
              <w:spacing w:line="440" w:lineRule="exact"/>
              <w:jc w:val="center"/>
              <w:rPr>
                <w:rFonts w:hint="eastAsia" w:ascii="宋体" w:hAnsi="宋体" w:cs="宋体"/>
                <w:szCs w:val="21"/>
              </w:rPr>
            </w:pPr>
            <w:r>
              <w:rPr>
                <w:rFonts w:hint="eastAsia" w:ascii="宋体" w:hAnsi="宋体" w:cs="宋体"/>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631" w:type="dxa"/>
            <w:vMerge w:val="restart"/>
            <w:vAlign w:val="center"/>
          </w:tcPr>
          <w:p>
            <w:pPr>
              <w:spacing w:line="440" w:lineRule="exact"/>
              <w:jc w:val="center"/>
              <w:rPr>
                <w:rFonts w:hint="eastAsia" w:ascii="宋体" w:hAnsi="宋体" w:cs="宋体"/>
                <w:szCs w:val="21"/>
              </w:rPr>
            </w:pPr>
            <w:r>
              <w:rPr>
                <w:rFonts w:hint="eastAsia" w:ascii="宋体" w:hAnsi="宋体" w:cs="宋体"/>
                <w:szCs w:val="21"/>
              </w:rPr>
              <w:t>商务</w:t>
            </w:r>
          </w:p>
          <w:p>
            <w:pPr>
              <w:spacing w:line="440" w:lineRule="exact"/>
              <w:jc w:val="center"/>
              <w:rPr>
                <w:rFonts w:hint="eastAsia" w:ascii="宋体" w:hAnsi="宋体" w:cs="宋体"/>
                <w:szCs w:val="21"/>
              </w:rPr>
            </w:pPr>
            <w:r>
              <w:rPr>
                <w:rFonts w:hint="eastAsia" w:ascii="宋体" w:hAnsi="宋体" w:cs="宋体"/>
                <w:szCs w:val="21"/>
              </w:rPr>
              <w:t>因素</w:t>
            </w: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B1</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B2</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bl>
    <w:p>
      <w:pPr>
        <w:spacing w:line="440" w:lineRule="exact"/>
        <w:rPr>
          <w:rFonts w:hint="eastAsia" w:ascii="宋体" w:hAnsi="宋体" w:cs="宋体"/>
          <w:szCs w:val="21"/>
        </w:rPr>
      </w:pPr>
    </w:p>
    <w:p>
      <w:pPr>
        <w:spacing w:line="440" w:lineRule="exact"/>
        <w:rPr>
          <w:rFonts w:hint="eastAsia" w:ascii="宋体" w:hAnsi="宋体" w:cs="宋体"/>
          <w:snapToGrid w:val="0"/>
          <w:szCs w:val="21"/>
        </w:rPr>
      </w:pPr>
      <w:r>
        <w:rPr>
          <w:rFonts w:hint="eastAsia" w:ascii="宋体" w:hAnsi="宋体" w:cs="宋体"/>
          <w:szCs w:val="21"/>
        </w:rPr>
        <w:t>注：投标人必须将投标文件中的相关内容按上述要求及以上格式，逐条对应填写</w:t>
      </w:r>
      <w:r>
        <w:rPr>
          <w:rFonts w:hint="eastAsia" w:ascii="宋体" w:hAnsi="宋体" w:cs="宋体"/>
          <w:snapToGrid w:val="0"/>
          <w:szCs w:val="21"/>
        </w:rPr>
        <w:t>，以便评委进行评标，未按以上格式逐条填写导致条理不清，解释不明的，</w:t>
      </w:r>
      <w:r>
        <w:rPr>
          <w:rFonts w:hint="eastAsia" w:ascii="宋体" w:hAnsi="宋体" w:cs="宋体"/>
          <w:szCs w:val="21"/>
        </w:rPr>
        <w:t>评标委员会</w:t>
      </w:r>
      <w:r>
        <w:rPr>
          <w:rFonts w:hint="eastAsia" w:ascii="宋体" w:hAnsi="宋体" w:cs="宋体"/>
          <w:snapToGrid w:val="0"/>
          <w:szCs w:val="21"/>
        </w:rPr>
        <w:t>将做出不利于投标人的</w:t>
      </w:r>
      <w:r>
        <w:rPr>
          <w:rFonts w:hint="eastAsia" w:ascii="宋体" w:hAnsi="宋体" w:cs="宋体"/>
          <w:szCs w:val="21"/>
        </w:rPr>
        <w:t>判断</w:t>
      </w:r>
      <w:r>
        <w:rPr>
          <w:rFonts w:hint="eastAsia" w:ascii="宋体" w:hAnsi="宋体" w:cs="宋体"/>
          <w:snapToGrid w:val="0"/>
          <w:szCs w:val="21"/>
        </w:rPr>
        <w:t>。</w:t>
      </w:r>
    </w:p>
    <w:p>
      <w:pPr>
        <w:spacing w:line="440" w:lineRule="exact"/>
        <w:rPr>
          <w:rFonts w:hint="eastAsia" w:ascii="宋体" w:hAnsi="宋体" w:cs="宋体"/>
          <w:b/>
          <w:szCs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pStyle w:val="32"/>
        <w:tabs>
          <w:tab w:val="left" w:pos="420"/>
        </w:tabs>
        <w:snapToGrid w:val="0"/>
        <w:spacing w:line="460" w:lineRule="atLeast"/>
        <w:rPr>
          <w:rFonts w:ascii="Times New Roman" w:hAnsi="Times New Roman" w:eastAsia="宋体"/>
          <w:b/>
          <w:bCs/>
          <w:sz w:val="28"/>
          <w:szCs w:val="28"/>
        </w:rPr>
      </w:pPr>
    </w:p>
    <w:p>
      <w:pPr>
        <w:spacing w:line="600" w:lineRule="auto"/>
        <w:jc w:val="center"/>
        <w:rPr>
          <w:rFonts w:hint="eastAsia" w:ascii="华文中宋" w:hAnsi="华文中宋" w:eastAsia="华文中宋" w:cs="华文中宋"/>
          <w:bCs/>
          <w:kern w:val="0"/>
          <w:sz w:val="32"/>
          <w:szCs w:val="32"/>
        </w:rPr>
      </w:pPr>
    </w:p>
    <w:p>
      <w:pP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br w:type="page"/>
      </w: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投  标  文  件</w:t>
      </w: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技术部分</w:t>
      </w:r>
    </w:p>
    <w:p>
      <w:pPr>
        <w:spacing w:line="360" w:lineRule="auto"/>
        <w:jc w:val="center"/>
        <w:rPr>
          <w:rFonts w:hint="eastAsia" w:ascii="宋体" w:hAnsi="宋体"/>
          <w:kern w:val="0"/>
          <w:sz w:val="32"/>
          <w:szCs w:val="32"/>
        </w:rPr>
      </w:pPr>
    </w:p>
    <w:p>
      <w:pPr>
        <w:spacing w:line="360" w:lineRule="auto"/>
        <w:jc w:val="center"/>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（填写正本或副本）</w:t>
      </w:r>
    </w:p>
    <w:p>
      <w:pPr>
        <w:spacing w:line="360" w:lineRule="auto"/>
        <w:ind w:firstLine="480" w:firstLineChars="200"/>
        <w:jc w:val="center"/>
        <w:rPr>
          <w:rFonts w:hint="eastAsia" w:ascii="方正小标宋简体" w:hAnsi="方正小标宋简体" w:eastAsia="方正小标宋简体" w:cs="方正小标宋简体"/>
          <w:bCs/>
          <w:kern w:val="0"/>
          <w:sz w:val="24"/>
          <w:szCs w:val="24"/>
        </w:rPr>
      </w:pPr>
    </w:p>
    <w:p>
      <w:pPr>
        <w:pStyle w:val="8"/>
        <w:rPr>
          <w:rFonts w:hint="eastAsia" w:ascii="方正小标宋简体" w:hAnsi="方正小标宋简体" w:eastAsia="方正小标宋简体" w:cs="方正小标宋简体"/>
          <w:b w:val="0"/>
          <w:bCs/>
          <w:kern w:val="0"/>
          <w:sz w:val="24"/>
        </w:rPr>
      </w:pPr>
    </w:p>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项目名称：</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项目编号：</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所投采购包：</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480" w:firstLineChars="200"/>
        <w:jc w:val="center"/>
        <w:rPr>
          <w:rFonts w:hint="eastAsia" w:ascii="方正小标宋简体" w:hAnsi="方正小标宋简体" w:eastAsia="方正小标宋简体" w:cs="方正小标宋简体"/>
          <w:bCs/>
          <w:kern w:val="0"/>
          <w:sz w:val="24"/>
          <w:szCs w:val="24"/>
        </w:rPr>
      </w:pP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投标人：</w:t>
      </w:r>
      <w:r>
        <w:rPr>
          <w:rFonts w:hint="eastAsia" w:ascii="方正小标宋简体" w:hAnsi="方正小标宋简体" w:eastAsia="方正小标宋简体" w:cs="方正小标宋简体"/>
          <w:bCs/>
          <w:kern w:val="0"/>
          <w:sz w:val="24"/>
          <w:szCs w:val="24"/>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kern w:val="0"/>
          <w:sz w:val="24"/>
          <w:szCs w:val="24"/>
        </w:rPr>
      </w:pPr>
      <w:r>
        <w:rPr>
          <w:rFonts w:hint="eastAsia" w:ascii="方正小标宋简体" w:hAnsi="方正小标宋简体" w:eastAsia="方正小标宋简体" w:cs="方正小标宋简体"/>
          <w:bCs/>
          <w:kern w:val="0"/>
          <w:sz w:val="24"/>
          <w:szCs w:val="24"/>
        </w:rPr>
        <w:t>日  期：</w:t>
      </w:r>
      <w:r>
        <w:rPr>
          <w:rFonts w:hint="eastAsia" w:ascii="方正小标宋简体" w:hAnsi="方正小标宋简体" w:eastAsia="方正小标宋简体" w:cs="方正小标宋简体"/>
          <w:bCs/>
          <w:kern w:val="0"/>
          <w:sz w:val="24"/>
          <w:szCs w:val="24"/>
          <w:u w:val="single"/>
        </w:rPr>
        <w:t xml:space="preserve">                 </w:t>
      </w:r>
    </w:p>
    <w:p>
      <w:pPr>
        <w:widowControl/>
        <w:jc w:val="center"/>
        <w:rPr>
          <w:rFonts w:hint="eastAsia" w:ascii="宋体" w:hAnsi="宋体" w:cs="宋体"/>
          <w:b/>
          <w:bCs/>
          <w:sz w:val="28"/>
          <w:szCs w:val="28"/>
        </w:rPr>
      </w:pPr>
      <w:r>
        <w:rPr>
          <w:rFonts w:ascii="宋体" w:hAnsi="宋体" w:cs="宋体"/>
          <w:b/>
          <w:bCs/>
          <w:sz w:val="36"/>
          <w:szCs w:val="36"/>
        </w:rPr>
        <w:br w:type="page"/>
      </w:r>
      <w:r>
        <w:rPr>
          <w:rFonts w:ascii="Times New Roman" w:hAnsi="Times New Roman"/>
          <w:b/>
          <w:bCs/>
          <w:sz w:val="28"/>
          <w:szCs w:val="28"/>
        </w:rPr>
        <w:t>格式</w:t>
      </w:r>
      <w:r>
        <w:rPr>
          <w:rFonts w:hint="eastAsia" w:ascii="Times New Roman" w:hAnsi="Times New Roman"/>
          <w:b/>
          <w:bCs/>
          <w:sz w:val="28"/>
          <w:szCs w:val="28"/>
        </w:rPr>
        <w:t>12</w:t>
      </w:r>
      <w:r>
        <w:rPr>
          <w:rFonts w:ascii="Times New Roman" w:hAnsi="Times New Roman"/>
          <w:b/>
          <w:bCs/>
          <w:sz w:val="28"/>
          <w:szCs w:val="28"/>
        </w:rPr>
        <w:t xml:space="preserve"> 技术</w:t>
      </w:r>
      <w:r>
        <w:rPr>
          <w:rFonts w:hint="eastAsia" w:ascii="宋体" w:hAnsi="宋体" w:cs="宋体"/>
          <w:b/>
          <w:bCs/>
          <w:sz w:val="28"/>
          <w:szCs w:val="28"/>
        </w:rPr>
        <w:t>条款偏离表</w:t>
      </w:r>
    </w:p>
    <w:tbl>
      <w:tblPr>
        <w:tblStyle w:val="24"/>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516" w:type="dxa"/>
            <w:noWrap/>
          </w:tcPr>
          <w:p>
            <w:pPr>
              <w:adjustRightInd w:val="0"/>
              <w:snapToGrid w:val="0"/>
              <w:jc w:val="center"/>
              <w:rPr>
                <w:rFonts w:ascii="Times New Roman" w:hAnsi="Times New Roman"/>
                <w:b/>
                <w:szCs w:val="21"/>
              </w:rPr>
            </w:pPr>
            <w:r>
              <w:rPr>
                <w:rFonts w:ascii="Times New Roman" w:hAnsi="Times New Roman"/>
                <w:b/>
                <w:szCs w:val="21"/>
              </w:rPr>
              <w:t>招标文件</w:t>
            </w:r>
          </w:p>
          <w:p>
            <w:pPr>
              <w:adjustRightInd w:val="0"/>
              <w:snapToGrid w:val="0"/>
              <w:jc w:val="center"/>
              <w:rPr>
                <w:rFonts w:ascii="Times New Roman" w:hAnsi="Times New Roman"/>
                <w:b/>
                <w:szCs w:val="21"/>
              </w:rPr>
            </w:pPr>
            <w:r>
              <w:rPr>
                <w:rFonts w:ascii="Times New Roman" w:hAnsi="Times New Roman"/>
                <w:b/>
                <w:szCs w:val="21"/>
              </w:rPr>
              <w:t>技术部分序号</w:t>
            </w:r>
          </w:p>
        </w:tc>
        <w:tc>
          <w:tcPr>
            <w:tcW w:w="2116" w:type="dxa"/>
            <w:noWrap/>
            <w:vAlign w:val="center"/>
          </w:tcPr>
          <w:p>
            <w:pPr>
              <w:adjustRightInd w:val="0"/>
              <w:snapToGrid w:val="0"/>
              <w:jc w:val="center"/>
              <w:rPr>
                <w:rFonts w:ascii="Times New Roman" w:hAnsi="Times New Roman"/>
                <w:b/>
                <w:szCs w:val="21"/>
              </w:rPr>
            </w:pPr>
            <w:r>
              <w:rPr>
                <w:rFonts w:ascii="Times New Roman" w:hAnsi="Times New Roman"/>
                <w:b/>
                <w:szCs w:val="21"/>
              </w:rPr>
              <w:t>招标文件</w:t>
            </w:r>
          </w:p>
          <w:p>
            <w:pPr>
              <w:adjustRightInd w:val="0"/>
              <w:snapToGrid w:val="0"/>
              <w:jc w:val="center"/>
              <w:rPr>
                <w:rFonts w:ascii="Times New Roman" w:hAnsi="Times New Roman"/>
                <w:b/>
                <w:szCs w:val="21"/>
              </w:rPr>
            </w:pPr>
            <w:r>
              <w:rPr>
                <w:rFonts w:ascii="Times New Roman" w:hAnsi="Times New Roman"/>
                <w:b/>
                <w:szCs w:val="21"/>
              </w:rPr>
              <w:t>技术部分内容要求</w:t>
            </w:r>
          </w:p>
        </w:tc>
        <w:tc>
          <w:tcPr>
            <w:tcW w:w="1684" w:type="dxa"/>
            <w:noWrap/>
            <w:vAlign w:val="center"/>
          </w:tcPr>
          <w:p>
            <w:pPr>
              <w:adjustRightInd w:val="0"/>
              <w:snapToGrid w:val="0"/>
              <w:jc w:val="center"/>
              <w:rPr>
                <w:rFonts w:ascii="Times New Roman" w:hAnsi="Times New Roman"/>
                <w:b/>
                <w:szCs w:val="21"/>
              </w:rPr>
            </w:pPr>
            <w:r>
              <w:rPr>
                <w:rFonts w:ascii="Times New Roman" w:hAnsi="Times New Roman"/>
                <w:b/>
                <w:szCs w:val="21"/>
              </w:rPr>
              <w:t>投标文件</w:t>
            </w:r>
          </w:p>
          <w:p>
            <w:pPr>
              <w:adjustRightInd w:val="0"/>
              <w:snapToGrid w:val="0"/>
              <w:jc w:val="center"/>
              <w:rPr>
                <w:rFonts w:ascii="Times New Roman" w:hAnsi="Times New Roman"/>
                <w:b/>
                <w:szCs w:val="21"/>
              </w:rPr>
            </w:pPr>
            <w:r>
              <w:rPr>
                <w:rFonts w:ascii="Times New Roman" w:hAnsi="Times New Roman"/>
                <w:b/>
                <w:szCs w:val="21"/>
              </w:rPr>
              <w:t>应答情况</w:t>
            </w:r>
          </w:p>
        </w:tc>
        <w:tc>
          <w:tcPr>
            <w:tcW w:w="2090" w:type="dxa"/>
            <w:noWrap/>
            <w:vAlign w:val="center"/>
          </w:tcPr>
          <w:p>
            <w:pPr>
              <w:adjustRightInd w:val="0"/>
              <w:snapToGrid w:val="0"/>
              <w:jc w:val="center"/>
              <w:rPr>
                <w:rFonts w:ascii="Times New Roman" w:hAnsi="Times New Roman"/>
                <w:b/>
                <w:szCs w:val="21"/>
              </w:rPr>
            </w:pPr>
            <w:r>
              <w:rPr>
                <w:rFonts w:ascii="Times New Roman" w:hAnsi="Times New Roman"/>
                <w:b/>
                <w:szCs w:val="21"/>
              </w:rPr>
              <w:t>偏离（无/正/负）</w:t>
            </w:r>
          </w:p>
        </w:tc>
        <w:tc>
          <w:tcPr>
            <w:tcW w:w="639" w:type="dxa"/>
            <w:noWrap/>
            <w:vAlign w:val="center"/>
          </w:tcPr>
          <w:p>
            <w:pPr>
              <w:adjustRightInd w:val="0"/>
              <w:snapToGrid w:val="0"/>
              <w:jc w:val="center"/>
              <w:rPr>
                <w:rFonts w:ascii="Times New Roman" w:hAnsi="Times New Roman"/>
                <w:b/>
                <w:szCs w:val="21"/>
              </w:rPr>
            </w:pPr>
            <w:r>
              <w:rPr>
                <w:rFonts w:ascii="Times New Roman" w:hAnsi="Times New Roman"/>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2090" w:type="dxa"/>
            <w:noWrap/>
            <w:vAlign w:val="center"/>
          </w:tcPr>
          <w:p>
            <w:pPr>
              <w:adjustRightInd w:val="0"/>
              <w:snapToGrid w:val="0"/>
              <w:jc w:val="center"/>
              <w:rPr>
                <w:rFonts w:ascii="Times New Roman" w:hAnsi="Times New Roman"/>
                <w:szCs w:val="21"/>
              </w:rPr>
            </w:pPr>
          </w:p>
        </w:tc>
        <w:tc>
          <w:tcPr>
            <w:tcW w:w="63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2090" w:type="dxa"/>
            <w:noWrap/>
            <w:vAlign w:val="center"/>
          </w:tcPr>
          <w:p>
            <w:pPr>
              <w:adjustRightInd w:val="0"/>
              <w:snapToGrid w:val="0"/>
              <w:jc w:val="center"/>
              <w:rPr>
                <w:rFonts w:ascii="Times New Roman" w:hAnsi="Times New Roman"/>
                <w:szCs w:val="21"/>
              </w:rPr>
            </w:pPr>
          </w:p>
        </w:tc>
        <w:tc>
          <w:tcPr>
            <w:tcW w:w="63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2090" w:type="dxa"/>
            <w:noWrap/>
            <w:vAlign w:val="center"/>
          </w:tcPr>
          <w:p>
            <w:pPr>
              <w:adjustRightInd w:val="0"/>
              <w:snapToGrid w:val="0"/>
              <w:jc w:val="center"/>
              <w:rPr>
                <w:rFonts w:ascii="Times New Roman" w:hAnsi="Times New Roman"/>
                <w:szCs w:val="21"/>
              </w:rPr>
            </w:pPr>
          </w:p>
        </w:tc>
        <w:tc>
          <w:tcPr>
            <w:tcW w:w="63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szCs w:val="21"/>
              </w:rPr>
            </w:pPr>
            <w:r>
              <w:rPr>
                <w:rFonts w:ascii="Times New Roman" w:hAnsi="Times New Roman"/>
                <w:szCs w:val="21"/>
              </w:rPr>
              <w:t>4</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2090" w:type="dxa"/>
            <w:noWrap/>
            <w:vAlign w:val="center"/>
          </w:tcPr>
          <w:p>
            <w:pPr>
              <w:adjustRightInd w:val="0"/>
              <w:snapToGrid w:val="0"/>
              <w:jc w:val="center"/>
              <w:rPr>
                <w:rFonts w:ascii="Times New Roman" w:hAnsi="Times New Roman"/>
                <w:szCs w:val="21"/>
              </w:rPr>
            </w:pPr>
          </w:p>
        </w:tc>
        <w:tc>
          <w:tcPr>
            <w:tcW w:w="63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szCs w:val="21"/>
              </w:rPr>
            </w:pPr>
            <w:r>
              <w:rPr>
                <w:rFonts w:ascii="Times New Roman" w:hAnsi="Times New Roman"/>
                <w:szCs w:val="21"/>
              </w:rPr>
              <w:t>5</w:t>
            </w:r>
          </w:p>
        </w:tc>
        <w:tc>
          <w:tcPr>
            <w:tcW w:w="1516" w:type="dxa"/>
            <w:noWrap/>
            <w:vAlign w:val="center"/>
          </w:tcPr>
          <w:p>
            <w:pPr>
              <w:adjustRightInd w:val="0"/>
              <w:snapToGrid w:val="0"/>
              <w:jc w:val="center"/>
              <w:rPr>
                <w:rFonts w:ascii="Times New Roman" w:hAnsi="Times New Roman"/>
                <w:szCs w:val="21"/>
              </w:rPr>
            </w:pPr>
          </w:p>
        </w:tc>
        <w:tc>
          <w:tcPr>
            <w:tcW w:w="2116" w:type="dxa"/>
            <w:noWrap/>
            <w:vAlign w:val="center"/>
          </w:tcPr>
          <w:p>
            <w:pPr>
              <w:adjustRightInd w:val="0"/>
              <w:snapToGrid w:val="0"/>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2090" w:type="dxa"/>
            <w:noWrap/>
            <w:vAlign w:val="center"/>
          </w:tcPr>
          <w:p>
            <w:pPr>
              <w:adjustRightInd w:val="0"/>
              <w:snapToGrid w:val="0"/>
              <w:jc w:val="center"/>
              <w:rPr>
                <w:rFonts w:ascii="Times New Roman" w:hAnsi="Times New Roman"/>
                <w:szCs w:val="21"/>
              </w:rPr>
            </w:pPr>
          </w:p>
        </w:tc>
        <w:tc>
          <w:tcPr>
            <w:tcW w:w="63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516" w:type="dxa"/>
            <w:noWrap/>
            <w:vAlign w:val="center"/>
          </w:tcPr>
          <w:p>
            <w:pPr>
              <w:adjustRightInd w:val="0"/>
              <w:snapToGrid w:val="0"/>
              <w:jc w:val="center"/>
              <w:rPr>
                <w:rFonts w:ascii="Times New Roman" w:hAnsi="Times New Roman"/>
                <w:szCs w:val="21"/>
              </w:rPr>
            </w:pPr>
          </w:p>
        </w:tc>
        <w:tc>
          <w:tcPr>
            <w:tcW w:w="2116" w:type="dxa"/>
            <w:noWrap/>
            <w:vAlign w:val="center"/>
          </w:tcPr>
          <w:p>
            <w:pPr>
              <w:adjustRightInd w:val="0"/>
              <w:snapToGrid w:val="0"/>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2090" w:type="dxa"/>
            <w:noWrap/>
            <w:vAlign w:val="center"/>
          </w:tcPr>
          <w:p>
            <w:pPr>
              <w:adjustRightInd w:val="0"/>
              <w:snapToGrid w:val="0"/>
              <w:jc w:val="center"/>
              <w:rPr>
                <w:rFonts w:ascii="Times New Roman" w:hAnsi="Times New Roman"/>
                <w:szCs w:val="21"/>
              </w:rPr>
            </w:pPr>
          </w:p>
        </w:tc>
        <w:tc>
          <w:tcPr>
            <w:tcW w:w="639" w:type="dxa"/>
            <w:noWrap/>
            <w:vAlign w:val="center"/>
          </w:tcPr>
          <w:p>
            <w:pPr>
              <w:adjustRightInd w:val="0"/>
              <w:snapToGrid w:val="0"/>
              <w:jc w:val="center"/>
              <w:rPr>
                <w:rFonts w:ascii="Times New Roman" w:hAnsi="Times New Roman"/>
                <w:szCs w:val="21"/>
              </w:rPr>
            </w:pPr>
          </w:p>
        </w:tc>
      </w:tr>
    </w:tbl>
    <w:p>
      <w:pPr>
        <w:topLinePunct/>
        <w:autoSpaceDE w:val="0"/>
        <w:autoSpaceDN w:val="0"/>
        <w:spacing w:line="360" w:lineRule="auto"/>
        <w:rPr>
          <w:rFonts w:hint="eastAsia"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1.按照《招标文件-技术部分》内容要求，一一对应填写。如果对《招标文件-技术部分》内容不做一一响应，而将“投标文件应答情况”简单笼统描述为“无偏离”，则视为无效应答。</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3.如《招标文件-技术部分》中有标注★号的，则为实质性要求，必须满足，如应答为“负偏离”，将导致投标无效。</w:t>
      </w:r>
    </w:p>
    <w:p>
      <w:pPr>
        <w:topLinePunct/>
        <w:autoSpaceDE w:val="0"/>
        <w:autoSpaceDN w:val="0"/>
        <w:spacing w:line="360" w:lineRule="auto"/>
        <w:ind w:firstLine="420" w:firstLineChars="200"/>
        <w:rPr>
          <w:rFonts w:ascii="Times New Roman" w:hAnsi="Times New Roman"/>
          <w:szCs w:val="21"/>
        </w:rPr>
      </w:pPr>
    </w:p>
    <w:p>
      <w:pPr>
        <w:pStyle w:val="33"/>
        <w:spacing w:after="156"/>
        <w:rPr>
          <w:sz w:val="21"/>
          <w:szCs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kern w:val="0"/>
          <w:szCs w:val="21"/>
        </w:rPr>
        <w:t>投标人代表（签字或盖章）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spacing w:line="360" w:lineRule="auto"/>
        <w:jc w:val="center"/>
        <w:rPr>
          <w:rFonts w:hint="eastAsia" w:ascii="宋体" w:hAnsi="宋体" w:cs="宋体"/>
          <w:b/>
          <w:bCs/>
          <w:sz w:val="28"/>
          <w:szCs w:val="28"/>
        </w:rPr>
      </w:pPr>
      <w:r>
        <w:rPr>
          <w:rFonts w:hint="eastAsia" w:hAnsi="宋体" w:cs="宋体"/>
          <w:sz w:val="24"/>
        </w:rPr>
        <w:br w:type="page"/>
      </w:r>
      <w:r>
        <w:rPr>
          <w:rFonts w:hint="eastAsia" w:ascii="宋体" w:hAnsi="宋体" w:cs="宋体"/>
          <w:b/>
          <w:bCs/>
          <w:sz w:val="28"/>
          <w:szCs w:val="28"/>
        </w:rPr>
        <w:t>格式</w:t>
      </w:r>
      <w:bookmarkStart w:id="72" w:name="_Toc231801039"/>
      <w:r>
        <w:rPr>
          <w:rFonts w:hint="eastAsia" w:ascii="Times New Roman" w:hAnsi="Times New Roman" w:eastAsia="方正小标宋简体"/>
          <w:b/>
          <w:bCs/>
          <w:sz w:val="28"/>
          <w:szCs w:val="28"/>
        </w:rPr>
        <w:t>13</w:t>
      </w:r>
      <w:r>
        <w:rPr>
          <w:rFonts w:hint="eastAsia" w:ascii="宋体" w:hAnsi="宋体" w:cs="宋体"/>
          <w:b/>
          <w:bCs/>
          <w:sz w:val="28"/>
          <w:szCs w:val="28"/>
        </w:rPr>
        <w:t xml:space="preserve"> 技术力量一览表</w:t>
      </w:r>
    </w:p>
    <w:tbl>
      <w:tblPr>
        <w:tblStyle w:val="24"/>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szCs w:val="21"/>
              </w:rPr>
            </w:pPr>
            <w:r>
              <w:rPr>
                <w:rFonts w:ascii="Times New Roman" w:hAnsi="Times New Roman"/>
                <w:szCs w:val="21"/>
              </w:rPr>
              <w:t>项目管理人员</w:t>
            </w:r>
          </w:p>
          <w:p>
            <w:pPr>
              <w:adjustRightInd w:val="0"/>
              <w:jc w:val="left"/>
              <w:rPr>
                <w:rFonts w:ascii="Times New Roman" w:hAnsi="Times New Roman"/>
                <w:szCs w:val="21"/>
              </w:rPr>
            </w:pPr>
            <w:r>
              <w:rPr>
                <w:rFonts w:ascii="Times New Roman" w:hAnsi="Times New Roman"/>
                <w:szCs w:val="21"/>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szCs w:val="21"/>
              </w:rPr>
            </w:pPr>
            <w:r>
              <w:rPr>
                <w:rFonts w:ascii="Times New Roman" w:hAnsi="Times New Roman"/>
                <w:szCs w:val="21"/>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szCs w:val="21"/>
              </w:rPr>
            </w:pPr>
            <w:r>
              <w:rPr>
                <w:rFonts w:ascii="Times New Roman" w:hAnsi="Times New Roman"/>
                <w:szCs w:val="21"/>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r>
              <w:rPr>
                <w:rFonts w:ascii="Times New Roman" w:hAnsi="Times New Roman"/>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ascii="Times New Roman" w:hAnsi="Times New Roman"/>
                <w:szCs w:val="21"/>
              </w:rPr>
            </w:pPr>
            <w:r>
              <w:rPr>
                <w:rFonts w:ascii="Times New Roman" w:hAnsi="Times New Roman"/>
                <w:szCs w:val="21"/>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Times New Roman" w:hAnsi="Times New Roman"/>
                <w:szCs w:val="21"/>
              </w:rPr>
            </w:pPr>
            <w:r>
              <w:rPr>
                <w:rFonts w:ascii="Times New Roman" w:hAnsi="Times New Roman"/>
                <w:szCs w:val="21"/>
              </w:rPr>
              <w:t>1</w:t>
            </w:r>
          </w:p>
        </w:tc>
        <w:tc>
          <w:tcPr>
            <w:tcW w:w="1356" w:type="dxa"/>
            <w:vAlign w:val="center"/>
          </w:tcPr>
          <w:p>
            <w:pPr>
              <w:adjustRightInd w:val="0"/>
              <w:jc w:val="center"/>
              <w:rPr>
                <w:rFonts w:ascii="Times New Roman" w:hAnsi="Times New Roman"/>
                <w:szCs w:val="21"/>
              </w:rPr>
            </w:pPr>
          </w:p>
        </w:tc>
        <w:tc>
          <w:tcPr>
            <w:tcW w:w="1187" w:type="dxa"/>
            <w:vAlign w:val="center"/>
          </w:tcPr>
          <w:p>
            <w:pPr>
              <w:adjustRightInd w:val="0"/>
              <w:jc w:val="center"/>
              <w:rPr>
                <w:rFonts w:ascii="Times New Roman" w:hAnsi="Times New Roman"/>
                <w:szCs w:val="21"/>
              </w:rPr>
            </w:pPr>
          </w:p>
        </w:tc>
        <w:tc>
          <w:tcPr>
            <w:tcW w:w="1189" w:type="dxa"/>
            <w:vAlign w:val="center"/>
          </w:tcPr>
          <w:p>
            <w:pPr>
              <w:adjustRightInd w:val="0"/>
              <w:jc w:val="center"/>
              <w:rPr>
                <w:rFonts w:ascii="Times New Roman" w:hAnsi="Times New Roman"/>
                <w:szCs w:val="21"/>
              </w:rPr>
            </w:pPr>
          </w:p>
        </w:tc>
        <w:tc>
          <w:tcPr>
            <w:tcW w:w="1275" w:type="dxa"/>
            <w:vAlign w:val="center"/>
          </w:tcPr>
          <w:p>
            <w:pPr>
              <w:adjustRightInd w:val="0"/>
              <w:jc w:val="center"/>
              <w:rPr>
                <w:rFonts w:ascii="Times New Roman" w:hAnsi="Times New Roman"/>
                <w:szCs w:val="21"/>
              </w:rPr>
            </w:pPr>
          </w:p>
        </w:tc>
        <w:tc>
          <w:tcPr>
            <w:tcW w:w="1243" w:type="dxa"/>
            <w:vAlign w:val="center"/>
          </w:tcPr>
          <w:p>
            <w:pPr>
              <w:adjustRightInd w:val="0"/>
              <w:jc w:val="center"/>
              <w:rPr>
                <w:rFonts w:ascii="Times New Roman" w:hAnsi="Times New Roman"/>
                <w:szCs w:val="21"/>
              </w:rPr>
            </w:pPr>
          </w:p>
        </w:tc>
        <w:tc>
          <w:tcPr>
            <w:tcW w:w="1916" w:type="dxa"/>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Times New Roman" w:hAnsi="Times New Roman"/>
                <w:szCs w:val="21"/>
              </w:rPr>
            </w:pPr>
            <w:r>
              <w:rPr>
                <w:rFonts w:ascii="Times New Roman" w:hAnsi="Times New Roman"/>
                <w:szCs w:val="21"/>
              </w:rPr>
              <w:t>2</w:t>
            </w:r>
          </w:p>
        </w:tc>
        <w:tc>
          <w:tcPr>
            <w:tcW w:w="1356" w:type="dxa"/>
            <w:vAlign w:val="center"/>
          </w:tcPr>
          <w:p>
            <w:pPr>
              <w:adjustRightInd w:val="0"/>
              <w:jc w:val="center"/>
              <w:rPr>
                <w:rFonts w:ascii="Times New Roman" w:hAnsi="Times New Roman"/>
                <w:szCs w:val="21"/>
              </w:rPr>
            </w:pPr>
          </w:p>
        </w:tc>
        <w:tc>
          <w:tcPr>
            <w:tcW w:w="1187" w:type="dxa"/>
            <w:vAlign w:val="center"/>
          </w:tcPr>
          <w:p>
            <w:pPr>
              <w:adjustRightInd w:val="0"/>
              <w:jc w:val="center"/>
              <w:rPr>
                <w:rFonts w:ascii="Times New Roman" w:hAnsi="Times New Roman"/>
                <w:szCs w:val="21"/>
              </w:rPr>
            </w:pPr>
          </w:p>
        </w:tc>
        <w:tc>
          <w:tcPr>
            <w:tcW w:w="1189" w:type="dxa"/>
            <w:vAlign w:val="center"/>
          </w:tcPr>
          <w:p>
            <w:pPr>
              <w:adjustRightInd w:val="0"/>
              <w:jc w:val="center"/>
              <w:rPr>
                <w:rFonts w:ascii="Times New Roman" w:hAnsi="Times New Roman"/>
                <w:szCs w:val="21"/>
              </w:rPr>
            </w:pPr>
          </w:p>
        </w:tc>
        <w:tc>
          <w:tcPr>
            <w:tcW w:w="1275" w:type="dxa"/>
            <w:vAlign w:val="center"/>
          </w:tcPr>
          <w:p>
            <w:pPr>
              <w:adjustRightInd w:val="0"/>
              <w:jc w:val="center"/>
              <w:rPr>
                <w:rFonts w:ascii="Times New Roman" w:hAnsi="Times New Roman"/>
                <w:szCs w:val="21"/>
              </w:rPr>
            </w:pPr>
          </w:p>
        </w:tc>
        <w:tc>
          <w:tcPr>
            <w:tcW w:w="1243" w:type="dxa"/>
            <w:vAlign w:val="center"/>
          </w:tcPr>
          <w:p>
            <w:pPr>
              <w:adjustRightInd w:val="0"/>
              <w:jc w:val="center"/>
              <w:rPr>
                <w:rFonts w:ascii="Times New Roman" w:hAnsi="Times New Roman"/>
                <w:szCs w:val="21"/>
              </w:rPr>
            </w:pPr>
          </w:p>
        </w:tc>
        <w:tc>
          <w:tcPr>
            <w:tcW w:w="1916" w:type="dxa"/>
            <w:vAlign w:val="center"/>
          </w:tcPr>
          <w:p>
            <w:pPr>
              <w:adjustRightIn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Times New Roman" w:hAnsi="Times New Roman"/>
                <w:szCs w:val="21"/>
              </w:rPr>
            </w:pPr>
            <w:r>
              <w:rPr>
                <w:rFonts w:ascii="Times New Roman" w:hAnsi="Times New Roman"/>
                <w:szCs w:val="21"/>
              </w:rPr>
              <w:t>……</w:t>
            </w:r>
          </w:p>
        </w:tc>
        <w:tc>
          <w:tcPr>
            <w:tcW w:w="1356" w:type="dxa"/>
            <w:vAlign w:val="center"/>
          </w:tcPr>
          <w:p>
            <w:pPr>
              <w:adjustRightInd w:val="0"/>
              <w:jc w:val="center"/>
              <w:rPr>
                <w:rFonts w:ascii="Times New Roman" w:hAnsi="Times New Roman"/>
                <w:szCs w:val="21"/>
              </w:rPr>
            </w:pPr>
          </w:p>
        </w:tc>
        <w:tc>
          <w:tcPr>
            <w:tcW w:w="1187" w:type="dxa"/>
            <w:vAlign w:val="center"/>
          </w:tcPr>
          <w:p>
            <w:pPr>
              <w:adjustRightInd w:val="0"/>
              <w:jc w:val="center"/>
              <w:rPr>
                <w:rFonts w:ascii="Times New Roman" w:hAnsi="Times New Roman"/>
                <w:szCs w:val="21"/>
              </w:rPr>
            </w:pPr>
          </w:p>
        </w:tc>
        <w:tc>
          <w:tcPr>
            <w:tcW w:w="1189" w:type="dxa"/>
            <w:vAlign w:val="center"/>
          </w:tcPr>
          <w:p>
            <w:pPr>
              <w:adjustRightInd w:val="0"/>
              <w:jc w:val="center"/>
              <w:rPr>
                <w:rFonts w:ascii="Times New Roman" w:hAnsi="Times New Roman"/>
                <w:szCs w:val="21"/>
              </w:rPr>
            </w:pPr>
          </w:p>
        </w:tc>
        <w:tc>
          <w:tcPr>
            <w:tcW w:w="1275" w:type="dxa"/>
            <w:vAlign w:val="center"/>
          </w:tcPr>
          <w:p>
            <w:pPr>
              <w:adjustRightInd w:val="0"/>
              <w:jc w:val="center"/>
              <w:rPr>
                <w:rFonts w:ascii="Times New Roman" w:hAnsi="Times New Roman"/>
                <w:szCs w:val="21"/>
              </w:rPr>
            </w:pPr>
          </w:p>
        </w:tc>
        <w:tc>
          <w:tcPr>
            <w:tcW w:w="1243" w:type="dxa"/>
            <w:vAlign w:val="center"/>
          </w:tcPr>
          <w:p>
            <w:pPr>
              <w:adjustRightInd w:val="0"/>
              <w:jc w:val="center"/>
              <w:rPr>
                <w:rFonts w:ascii="Times New Roman" w:hAnsi="Times New Roman"/>
                <w:szCs w:val="21"/>
              </w:rPr>
            </w:pPr>
          </w:p>
        </w:tc>
        <w:tc>
          <w:tcPr>
            <w:tcW w:w="1916" w:type="dxa"/>
            <w:vAlign w:val="center"/>
          </w:tcPr>
          <w:p>
            <w:pPr>
              <w:adjustRightInd w:val="0"/>
              <w:jc w:val="center"/>
              <w:rPr>
                <w:rFonts w:ascii="Times New Roman" w:hAnsi="Times New Roman"/>
                <w:szCs w:val="21"/>
              </w:rPr>
            </w:pPr>
          </w:p>
        </w:tc>
      </w:tr>
      <w:bookmarkEnd w:id="72"/>
    </w:tbl>
    <w:p>
      <w:pPr>
        <w:topLinePunct/>
        <w:autoSpaceDE w:val="0"/>
        <w:autoSpaceDN w:val="0"/>
        <w:spacing w:line="360" w:lineRule="auto"/>
        <w:rPr>
          <w:rFonts w:hint="eastAsia" w:ascii="宋体" w:hAnsi="宋体" w:cs="宋体"/>
          <w:szCs w:val="21"/>
        </w:rPr>
      </w:pPr>
      <w:r>
        <w:rPr>
          <w:rFonts w:ascii="宋体" w:hAnsi="宋体" w:cs="宋体"/>
          <w:szCs w:val="21"/>
        </w:rPr>
        <w:t>特别说明：</w:t>
      </w:r>
    </w:p>
    <w:p>
      <w:pPr>
        <w:topLinePunct/>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投标人须按照上述格式填写投入本项目所有人员的相关信息。</w:t>
      </w:r>
    </w:p>
    <w:p/>
    <w:p>
      <w:pPr>
        <w:rPr>
          <w:rFonts w:ascii="Times New Roman" w:hAnsi="Times New Roman"/>
          <w:b/>
          <w:bCs/>
          <w:sz w:val="28"/>
          <w:szCs w:val="28"/>
        </w:rPr>
      </w:pPr>
      <w:r>
        <w:rPr>
          <w:rFonts w:ascii="Times New Roman" w:hAnsi="Times New Roman"/>
          <w:b/>
          <w:bCs/>
          <w:sz w:val="28"/>
          <w:szCs w:val="28"/>
        </w:rPr>
        <w:br w:type="page"/>
      </w:r>
    </w:p>
    <w:p>
      <w:pPr>
        <w:jc w:val="center"/>
        <w:rPr>
          <w:b/>
          <w:bCs/>
          <w:sz w:val="36"/>
          <w:szCs w:val="36"/>
        </w:rPr>
      </w:pPr>
      <w:r>
        <w:rPr>
          <w:rFonts w:hint="eastAsia" w:ascii="宋体" w:hAnsi="宋体"/>
          <w:b/>
          <w:bCs/>
          <w:sz w:val="28"/>
          <w:szCs w:val="28"/>
        </w:rPr>
        <w:t>格式</w:t>
      </w:r>
      <w:r>
        <w:rPr>
          <w:rFonts w:hint="eastAsia" w:ascii="Times New Roman" w:hAnsi="Times New Roman"/>
          <w:b/>
          <w:bCs/>
          <w:sz w:val="28"/>
          <w:szCs w:val="28"/>
        </w:rPr>
        <w:t>14</w:t>
      </w:r>
      <w:r>
        <w:rPr>
          <w:rFonts w:hint="eastAsia"/>
          <w:b/>
          <w:bCs/>
          <w:sz w:val="28"/>
          <w:szCs w:val="28"/>
        </w:rPr>
        <w:t>服务方案、实施方案及技术方案</w:t>
      </w:r>
    </w:p>
    <w:p>
      <w:pPr>
        <w:ind w:firstLine="420" w:firstLineChars="200"/>
        <w:rPr>
          <w:szCs w:val="21"/>
        </w:rPr>
      </w:pPr>
    </w:p>
    <w:p>
      <w:pPr>
        <w:adjustRightInd w:val="0"/>
        <w:snapToGrid w:val="0"/>
        <w:spacing w:line="360" w:lineRule="auto"/>
        <w:jc w:val="center"/>
        <w:rPr>
          <w:rFonts w:eastAsia="黑体"/>
          <w:sz w:val="28"/>
          <w:szCs w:val="28"/>
        </w:rPr>
      </w:pPr>
      <w:r>
        <w:rPr>
          <w:rFonts w:hint="eastAsia" w:ascii="宋体" w:hAnsi="宋体" w:cs="宋体"/>
          <w:b/>
          <w:bCs/>
          <w:sz w:val="28"/>
          <w:szCs w:val="28"/>
        </w:rPr>
        <w:t>服务方案说明</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服务类项目供应商应根据第六章规定编写服务方案说明。服务方案说明包括但不限于：</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(1)服务目标、范围和任务；</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(2)服务方案；</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(3)服务团队组织安排计划；</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(4)工作流程；</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(5)进度计划及保证措施；</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(6)质量保证措施；</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(7)合理化建议；</w:t>
      </w:r>
    </w:p>
    <w:p>
      <w:pPr>
        <w:spacing w:line="360" w:lineRule="auto"/>
        <w:ind w:firstLine="420" w:firstLineChars="200"/>
        <w:jc w:val="left"/>
        <w:rPr>
          <w:rFonts w:ascii="Times New Roman" w:hAnsi="Times New Roman"/>
          <w:kern w:val="0"/>
          <w:szCs w:val="21"/>
        </w:rPr>
      </w:pPr>
      <w:r>
        <w:rPr>
          <w:rFonts w:ascii="Times New Roman" w:hAnsi="Times New Roman"/>
          <w:kern w:val="0"/>
          <w:szCs w:val="21"/>
        </w:rPr>
        <w:t>(8)其他。</w:t>
      </w:r>
    </w:p>
    <w:p>
      <w:pPr>
        <w:ind w:firstLine="420" w:firstLineChars="200"/>
        <w:rPr>
          <w:rFonts w:eastAsia="仿宋_GB2312"/>
          <w:szCs w:val="21"/>
        </w:rPr>
      </w:pPr>
    </w:p>
    <w:p>
      <w:pPr>
        <w:adjustRightInd w:val="0"/>
        <w:snapToGrid w:val="0"/>
        <w:spacing w:line="360" w:lineRule="auto"/>
        <w:ind w:firstLine="723"/>
        <w:jc w:val="center"/>
        <w:rPr>
          <w:rFonts w:hint="eastAsia" w:ascii="宋体" w:hAnsi="宋体" w:cs="宋体"/>
          <w:b/>
          <w:bCs/>
          <w:sz w:val="28"/>
          <w:szCs w:val="28"/>
        </w:rPr>
      </w:pPr>
      <w:r>
        <w:rPr>
          <w:rFonts w:hint="eastAsia" w:ascii="宋体" w:hAnsi="宋体" w:cs="宋体"/>
          <w:b/>
          <w:bCs/>
          <w:sz w:val="28"/>
          <w:szCs w:val="28"/>
        </w:rPr>
        <w:t>实施方案</w:t>
      </w:r>
    </w:p>
    <w:p>
      <w:pPr>
        <w:spacing w:line="360" w:lineRule="auto"/>
        <w:ind w:firstLine="420" w:firstLineChars="200"/>
        <w:jc w:val="left"/>
        <w:rPr>
          <w:rFonts w:hint="eastAsia" w:ascii="宋体" w:hAnsi="宋体"/>
          <w:kern w:val="0"/>
          <w:szCs w:val="21"/>
        </w:rPr>
      </w:pPr>
      <w:r>
        <w:rPr>
          <w:rFonts w:hint="eastAsia" w:ascii="宋体" w:hAnsi="宋体"/>
          <w:kern w:val="0"/>
          <w:szCs w:val="21"/>
        </w:rPr>
        <w:t>(示例略)</w:t>
      </w:r>
    </w:p>
    <w:p>
      <w:pPr>
        <w:ind w:firstLine="420" w:firstLineChars="200"/>
        <w:rPr>
          <w:rFonts w:eastAsia="仿宋_GB2312"/>
          <w:szCs w:val="21"/>
        </w:rPr>
      </w:pPr>
    </w:p>
    <w:p>
      <w:pPr>
        <w:adjustRightInd w:val="0"/>
        <w:snapToGrid w:val="0"/>
        <w:spacing w:line="360" w:lineRule="auto"/>
        <w:ind w:firstLine="723"/>
        <w:jc w:val="center"/>
        <w:rPr>
          <w:rFonts w:hint="eastAsia" w:ascii="宋体" w:hAnsi="宋体" w:cs="宋体"/>
          <w:b/>
          <w:bCs/>
          <w:sz w:val="28"/>
          <w:szCs w:val="28"/>
        </w:rPr>
      </w:pPr>
      <w:r>
        <w:rPr>
          <w:rFonts w:hint="eastAsia" w:ascii="宋体" w:hAnsi="宋体" w:cs="宋体"/>
          <w:b/>
          <w:bCs/>
          <w:sz w:val="28"/>
          <w:szCs w:val="28"/>
        </w:rPr>
        <w:t>技术方案</w:t>
      </w:r>
    </w:p>
    <w:p>
      <w:pPr>
        <w:spacing w:line="360" w:lineRule="auto"/>
        <w:ind w:firstLine="420" w:firstLineChars="200"/>
        <w:jc w:val="left"/>
        <w:rPr>
          <w:rFonts w:hint="eastAsia" w:ascii="宋体" w:hAnsi="宋体"/>
          <w:kern w:val="0"/>
          <w:szCs w:val="21"/>
        </w:rPr>
      </w:pPr>
      <w:r>
        <w:rPr>
          <w:rFonts w:ascii="宋体" w:hAnsi="宋体"/>
          <w:kern w:val="0"/>
          <w:szCs w:val="21"/>
        </w:rPr>
        <w:t>(</w:t>
      </w:r>
      <w:r>
        <w:rPr>
          <w:rFonts w:hint="eastAsia" w:ascii="宋体" w:hAnsi="宋体"/>
          <w:kern w:val="0"/>
          <w:szCs w:val="21"/>
        </w:rPr>
        <w:t>示例略</w:t>
      </w:r>
      <w:r>
        <w:rPr>
          <w:rFonts w:ascii="宋体" w:hAnsi="宋体"/>
          <w:kern w:val="0"/>
          <w:szCs w:val="21"/>
        </w:rPr>
        <w:t>)</w:t>
      </w:r>
    </w:p>
    <w:p>
      <w:pPr>
        <w:topLinePunct/>
        <w:autoSpaceDE w:val="0"/>
        <w:autoSpaceDN w:val="0"/>
        <w:spacing w:line="360" w:lineRule="auto"/>
        <w:ind w:firstLine="480" w:firstLineChars="200"/>
        <w:rPr>
          <w:rFonts w:hint="eastAsia" w:ascii="宋体" w:hAnsi="宋体" w:cs="宋体"/>
          <w:szCs w:val="21"/>
        </w:rPr>
      </w:pPr>
      <w:r>
        <w:rPr>
          <w:rFonts w:ascii="宋体" w:hAnsi="宋体"/>
          <w:kern w:val="0"/>
          <w:sz w:val="24"/>
        </w:rPr>
        <w:br w:type="page"/>
      </w:r>
    </w:p>
    <w:p>
      <w:pPr>
        <w:topLinePunct/>
        <w:autoSpaceDE w:val="0"/>
        <w:autoSpaceDN w:val="0"/>
        <w:spacing w:line="360" w:lineRule="auto"/>
        <w:jc w:val="center"/>
        <w:rPr>
          <w:rFonts w:hint="eastAsia" w:ascii="宋体" w:hAnsi="宋体" w:cs="宋体"/>
          <w:b/>
          <w:bCs/>
          <w:sz w:val="28"/>
          <w:szCs w:val="28"/>
        </w:rPr>
      </w:pPr>
      <w:r>
        <w:rPr>
          <w:rFonts w:hint="eastAsia" w:ascii="宋体" w:hAnsi="宋体" w:cs="宋体"/>
          <w:b/>
          <w:bCs/>
          <w:sz w:val="28"/>
          <w:szCs w:val="28"/>
        </w:rPr>
        <w:t>格式15 技术人员简历表</w:t>
      </w: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r>
              <w:rPr>
                <w:rFonts w:hint="eastAsia" w:ascii="宋体" w:hAnsi="宋体" w:cs="宋体"/>
                <w:szCs w:val="21"/>
              </w:rPr>
              <w:t>工作简历及主要业绩</w:t>
            </w:r>
          </w:p>
          <w:p>
            <w:pPr>
              <w:adjustRightInd w:val="0"/>
              <w:rPr>
                <w:rFonts w:hint="eastAsia" w:ascii="宋体" w:hAnsi="宋体" w:cs="宋体"/>
                <w:szCs w:val="21"/>
              </w:rPr>
            </w:pPr>
          </w:p>
        </w:tc>
      </w:tr>
    </w:tbl>
    <w:p>
      <w:pPr>
        <w:topLinePunct/>
        <w:autoSpaceDE w:val="0"/>
        <w:autoSpaceDN w:val="0"/>
        <w:spacing w:line="360" w:lineRule="auto"/>
        <w:rPr>
          <w:rFonts w:ascii="Times New Roman" w:hAnsi="Times New Roman"/>
          <w:szCs w:val="21"/>
        </w:rPr>
      </w:pPr>
      <w:r>
        <w:rPr>
          <w:rFonts w:ascii="Times New Roman" w:hAnsi="Times New Roman"/>
          <w:szCs w:val="21"/>
        </w:rPr>
        <w:t>特别说明：</w:t>
      </w:r>
    </w:p>
    <w:p>
      <w:pPr>
        <w:topLinePunct/>
        <w:autoSpaceDE w:val="0"/>
        <w:autoSpaceDN w:val="0"/>
        <w:spacing w:line="360" w:lineRule="auto"/>
        <w:ind w:firstLine="420" w:firstLineChars="200"/>
        <w:rPr>
          <w:rFonts w:ascii="Times New Roman" w:hAnsi="Times New Roman"/>
          <w:szCs w:val="21"/>
        </w:rPr>
      </w:pPr>
      <w:r>
        <w:rPr>
          <w:rFonts w:ascii="Times New Roman" w:hAnsi="Times New Roman"/>
          <w:szCs w:val="21"/>
        </w:rPr>
        <w:t>投标人应提供投入本项目所有人员的简历。</w:t>
      </w:r>
    </w:p>
    <w:p>
      <w:pPr>
        <w:widowControl/>
        <w:jc w:val="left"/>
      </w:pPr>
    </w:p>
    <w:p>
      <w:pPr>
        <w:widowControl/>
        <w:jc w:val="center"/>
        <w:rPr>
          <w:b/>
          <w:bCs/>
          <w:sz w:val="36"/>
          <w:szCs w:val="36"/>
        </w:rPr>
      </w:pPr>
      <w:r>
        <w:rPr>
          <w:rFonts w:ascii="宋体" w:hAnsi="宋体"/>
          <w:b/>
          <w:bCs/>
          <w:sz w:val="36"/>
          <w:szCs w:val="36"/>
        </w:rPr>
        <w:br w:type="page"/>
      </w:r>
      <w:r>
        <w:rPr>
          <w:rFonts w:hint="eastAsia" w:ascii="宋体" w:hAnsi="宋体"/>
          <w:b/>
          <w:bCs/>
          <w:sz w:val="28"/>
          <w:szCs w:val="28"/>
        </w:rPr>
        <w:t>格式16 投标人售后服务承诺</w:t>
      </w:r>
    </w:p>
    <w:p>
      <w:pPr>
        <w:ind w:firstLine="420" w:firstLineChars="200"/>
        <w:rPr>
          <w:szCs w:val="21"/>
        </w:rPr>
      </w:pPr>
    </w:p>
    <w:p>
      <w:pPr>
        <w:spacing w:line="360" w:lineRule="auto"/>
        <w:ind w:firstLine="420" w:firstLineChars="200"/>
        <w:jc w:val="left"/>
        <w:rPr>
          <w:rFonts w:hint="eastAsia" w:ascii="宋体" w:hAnsi="宋体"/>
          <w:kern w:val="0"/>
          <w:szCs w:val="21"/>
        </w:rPr>
      </w:pPr>
      <w:r>
        <w:rPr>
          <w:rFonts w:ascii="宋体" w:hAnsi="宋体"/>
          <w:kern w:val="0"/>
          <w:szCs w:val="21"/>
        </w:rPr>
        <w:t>(示例略)</w:t>
      </w:r>
    </w:p>
    <w:p>
      <w:pPr>
        <w:rPr>
          <w:rFonts w:ascii="Times New Roman" w:hAnsi="Times New Roman"/>
          <w:b/>
          <w:bCs/>
          <w:sz w:val="28"/>
          <w:szCs w:val="28"/>
        </w:rPr>
      </w:pPr>
      <w:r>
        <w:rPr>
          <w:rFonts w:ascii="Times New Roman" w:hAnsi="Times New Roman"/>
          <w:b/>
          <w:bCs/>
          <w:sz w:val="28"/>
          <w:szCs w:val="28"/>
        </w:rPr>
        <w:br w:type="page"/>
      </w:r>
    </w:p>
    <w:p>
      <w:pPr>
        <w:pStyle w:val="32"/>
        <w:tabs>
          <w:tab w:val="left" w:pos="420"/>
        </w:tabs>
        <w:snapToGrid w:val="0"/>
        <w:spacing w:line="460" w:lineRule="atLeast"/>
        <w:rPr>
          <w:rFonts w:ascii="Times New Roman" w:hAnsi="Times New Roman"/>
          <w:b/>
          <w:bCs/>
          <w:sz w:val="28"/>
          <w:szCs w:val="28"/>
        </w:rPr>
      </w:pPr>
      <w:r>
        <w:rPr>
          <w:rFonts w:ascii="Times New Roman" w:hAnsi="Times New Roman" w:eastAsia="宋体"/>
          <w:b/>
          <w:bCs/>
          <w:sz w:val="28"/>
          <w:szCs w:val="28"/>
        </w:rPr>
        <w:t>格式</w:t>
      </w:r>
      <w:r>
        <w:rPr>
          <w:rFonts w:hint="eastAsia" w:ascii="Times New Roman" w:hAnsi="Times New Roman" w:eastAsia="宋体"/>
          <w:b/>
          <w:bCs/>
          <w:sz w:val="28"/>
          <w:szCs w:val="28"/>
        </w:rPr>
        <w:t>17</w:t>
      </w:r>
      <w:r>
        <w:rPr>
          <w:rFonts w:ascii="Times New Roman" w:hAnsi="Times New Roman" w:eastAsia="宋体"/>
          <w:b/>
          <w:bCs/>
          <w:sz w:val="28"/>
          <w:szCs w:val="28"/>
        </w:rPr>
        <w:t xml:space="preserve"> </w:t>
      </w:r>
      <w:r>
        <w:rPr>
          <w:rFonts w:hint="eastAsia" w:ascii="Times New Roman" w:hAnsi="Times New Roman" w:eastAsia="宋体"/>
          <w:b/>
          <w:bCs/>
          <w:sz w:val="28"/>
          <w:szCs w:val="28"/>
        </w:rPr>
        <w:t>投标人认为需要提供的其他说明和资料</w:t>
      </w:r>
    </w:p>
    <w:p>
      <w:pPr>
        <w:rPr>
          <w:szCs w:val="21"/>
        </w:rPr>
      </w:pPr>
    </w:p>
    <w:p>
      <w:pPr>
        <w:pStyle w:val="10"/>
        <w:ind w:right="281"/>
        <w:rPr>
          <w:rFonts w:hint="eastAsia"/>
          <w:sz w:val="21"/>
          <w:szCs w:val="21"/>
        </w:rPr>
      </w:pPr>
    </w:p>
    <w:p>
      <w:pPr>
        <w:pStyle w:val="10"/>
        <w:ind w:right="281"/>
        <w:rPr>
          <w:rFonts w:hint="eastAsia"/>
          <w:sz w:val="21"/>
          <w:szCs w:val="21"/>
        </w:rPr>
      </w:pPr>
    </w:p>
    <w:p>
      <w:pPr>
        <w:pStyle w:val="32"/>
        <w:tabs>
          <w:tab w:val="left" w:pos="360"/>
          <w:tab w:val="left" w:pos="816"/>
        </w:tabs>
        <w:spacing w:line="360" w:lineRule="auto"/>
        <w:ind w:firstLine="480"/>
        <w:rPr>
          <w:rFonts w:cs="宋体"/>
          <w:sz w:val="24"/>
          <w:szCs w:val="24"/>
        </w:rPr>
      </w:pPr>
      <w:r>
        <w:rPr>
          <w:rFonts w:hint="eastAsia" w:cs="宋体"/>
          <w:sz w:val="24"/>
          <w:szCs w:val="24"/>
        </w:rPr>
        <w:t>　</w:t>
      </w:r>
    </w:p>
    <w:p>
      <w:pPr>
        <w:rPr>
          <w:rFonts w:cs="宋体"/>
          <w:sz w:val="24"/>
          <w:szCs w:val="24"/>
        </w:rPr>
      </w:pPr>
      <w:r>
        <w:rPr>
          <w:rFonts w:hint="eastAsia" w:cs="宋体"/>
          <w:sz w:val="24"/>
          <w:szCs w:val="24"/>
        </w:rPr>
        <w:br w:type="page"/>
      </w:r>
    </w:p>
    <w:p>
      <w:pPr>
        <w:pStyle w:val="32"/>
        <w:tabs>
          <w:tab w:val="left" w:pos="360"/>
          <w:tab w:val="left" w:pos="816"/>
        </w:tabs>
        <w:spacing w:line="360" w:lineRule="auto"/>
        <w:ind w:firstLine="480"/>
        <w:rPr>
          <w:rFonts w:ascii="宋体" w:eastAsia="宋体"/>
          <w:sz w:val="24"/>
          <w:szCs w:val="24"/>
        </w:rPr>
      </w:pPr>
      <w:r>
        <w:rPr>
          <w:rFonts w:ascii="Times New Roman" w:hAnsi="Times New Roman" w:eastAsia="宋体"/>
          <w:b/>
          <w:bCs/>
          <w:sz w:val="28"/>
          <w:szCs w:val="28"/>
        </w:rPr>
        <w:t>格式</w:t>
      </w:r>
      <w:r>
        <w:rPr>
          <w:rFonts w:hint="eastAsia" w:ascii="Times New Roman" w:hAnsi="Times New Roman" w:eastAsia="宋体"/>
          <w:b/>
          <w:bCs/>
          <w:sz w:val="28"/>
          <w:szCs w:val="28"/>
        </w:rPr>
        <w:t>18</w:t>
      </w:r>
      <w:r>
        <w:rPr>
          <w:rFonts w:hint="eastAsia" w:ascii="宋体" w:eastAsia="宋体"/>
          <w:b/>
          <w:kern w:val="0"/>
          <w:sz w:val="24"/>
          <w:szCs w:val="24"/>
        </w:rPr>
        <w:t>技术因素评标内容对应表</w:t>
      </w:r>
    </w:p>
    <w:p>
      <w:pPr>
        <w:spacing w:line="440" w:lineRule="exact"/>
        <w:ind w:firstLine="178" w:firstLineChars="85"/>
        <w:rPr>
          <w:rFonts w:hint="eastAsia" w:ascii="宋体" w:hAnsi="宋体" w:cs="宋体"/>
          <w:szCs w:val="21"/>
        </w:rPr>
      </w:pPr>
      <w:r>
        <w:rPr>
          <w:rFonts w:hint="eastAsia" w:ascii="宋体" w:hAnsi="宋体" w:cs="宋体"/>
          <w:szCs w:val="21"/>
        </w:rPr>
        <w:t>投标人名称：                              招标编号：</w:t>
      </w:r>
    </w:p>
    <w:tbl>
      <w:tblPr>
        <w:tblStyle w:val="24"/>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030"/>
        <w:gridCol w:w="3168"/>
        <w:gridCol w:w="30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61" w:type="dxa"/>
            <w:gridSpan w:val="2"/>
            <w:vAlign w:val="center"/>
          </w:tcPr>
          <w:p>
            <w:pPr>
              <w:spacing w:line="440" w:lineRule="exact"/>
              <w:jc w:val="center"/>
              <w:rPr>
                <w:rFonts w:hint="eastAsia" w:ascii="宋体" w:hAnsi="宋体" w:cs="宋体"/>
                <w:szCs w:val="21"/>
              </w:rPr>
            </w:pPr>
            <w:r>
              <w:rPr>
                <w:rFonts w:hint="eastAsia" w:ascii="宋体" w:hAnsi="宋体" w:cs="宋体"/>
                <w:szCs w:val="21"/>
              </w:rPr>
              <w:t>项目</w:t>
            </w:r>
          </w:p>
        </w:tc>
        <w:tc>
          <w:tcPr>
            <w:tcW w:w="3168" w:type="dxa"/>
            <w:vAlign w:val="center"/>
          </w:tcPr>
          <w:p>
            <w:pPr>
              <w:spacing w:line="440" w:lineRule="exact"/>
              <w:jc w:val="center"/>
              <w:rPr>
                <w:rFonts w:hint="eastAsia" w:ascii="宋体" w:hAnsi="宋体" w:cs="宋体"/>
                <w:szCs w:val="21"/>
              </w:rPr>
            </w:pPr>
            <w:r>
              <w:rPr>
                <w:rFonts w:hint="eastAsia" w:ascii="宋体" w:hAnsi="宋体" w:cs="宋体"/>
                <w:szCs w:val="21"/>
              </w:rPr>
              <w:t>评标内容</w:t>
            </w:r>
          </w:p>
        </w:tc>
        <w:tc>
          <w:tcPr>
            <w:tcW w:w="3060" w:type="dxa"/>
            <w:vAlign w:val="center"/>
          </w:tcPr>
          <w:p>
            <w:pPr>
              <w:spacing w:line="440" w:lineRule="exact"/>
              <w:jc w:val="center"/>
              <w:rPr>
                <w:rFonts w:hint="eastAsia" w:ascii="宋体" w:hAnsi="宋体" w:cs="宋体"/>
                <w:szCs w:val="21"/>
              </w:rPr>
            </w:pPr>
            <w:r>
              <w:rPr>
                <w:rFonts w:hint="eastAsia" w:ascii="宋体" w:hAnsi="宋体" w:cs="宋体"/>
                <w:szCs w:val="21"/>
              </w:rPr>
              <w:t>投标文件响应情况</w:t>
            </w:r>
          </w:p>
        </w:tc>
        <w:tc>
          <w:tcPr>
            <w:tcW w:w="1160" w:type="dxa"/>
            <w:vAlign w:val="center"/>
          </w:tcPr>
          <w:p>
            <w:pPr>
              <w:spacing w:line="440" w:lineRule="exact"/>
              <w:jc w:val="center"/>
              <w:rPr>
                <w:rFonts w:hint="eastAsia" w:ascii="宋体" w:hAnsi="宋体" w:cs="宋体"/>
                <w:szCs w:val="21"/>
              </w:rPr>
            </w:pPr>
            <w:r>
              <w:rPr>
                <w:rFonts w:hint="eastAsia" w:ascii="宋体" w:hAnsi="宋体" w:cs="宋体"/>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1" w:type="dxa"/>
            <w:vMerge w:val="restart"/>
            <w:vAlign w:val="center"/>
          </w:tcPr>
          <w:p>
            <w:pPr>
              <w:spacing w:line="440" w:lineRule="exact"/>
              <w:jc w:val="center"/>
              <w:rPr>
                <w:rFonts w:hint="eastAsia" w:ascii="宋体" w:hAnsi="宋体" w:cs="宋体"/>
                <w:szCs w:val="21"/>
              </w:rPr>
            </w:pPr>
            <w:r>
              <w:rPr>
                <w:rFonts w:hint="eastAsia" w:ascii="宋体" w:hAnsi="宋体" w:cs="宋体"/>
                <w:szCs w:val="21"/>
              </w:rPr>
              <w:t>技术</w:t>
            </w:r>
          </w:p>
          <w:p>
            <w:pPr>
              <w:spacing w:line="440" w:lineRule="exact"/>
              <w:jc w:val="center"/>
              <w:rPr>
                <w:rFonts w:hint="eastAsia" w:ascii="宋体" w:hAnsi="宋体" w:cs="宋体"/>
                <w:szCs w:val="21"/>
              </w:rPr>
            </w:pPr>
            <w:r>
              <w:rPr>
                <w:rFonts w:hint="eastAsia" w:ascii="宋体" w:hAnsi="宋体" w:cs="宋体"/>
                <w:szCs w:val="21"/>
              </w:rPr>
              <w:t>因素</w:t>
            </w: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C1</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C2</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C3</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C4</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C5</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C6</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C7</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1" w:type="dxa"/>
            <w:vMerge w:val="continue"/>
          </w:tcPr>
          <w:p>
            <w:pPr>
              <w:rPr>
                <w:rFonts w:hint="eastAsia" w:ascii="宋体" w:hAnsi="宋体" w:cs="宋体"/>
                <w:szCs w:val="21"/>
              </w:rPr>
            </w:pPr>
          </w:p>
        </w:tc>
        <w:tc>
          <w:tcPr>
            <w:tcW w:w="1030" w:type="dxa"/>
            <w:vAlign w:val="center"/>
          </w:tcPr>
          <w:p>
            <w:pPr>
              <w:spacing w:line="440" w:lineRule="exact"/>
              <w:jc w:val="center"/>
              <w:rPr>
                <w:rFonts w:hint="eastAsia" w:ascii="宋体" w:hAnsi="宋体" w:cs="宋体"/>
                <w:szCs w:val="21"/>
              </w:rPr>
            </w:pPr>
            <w:r>
              <w:rPr>
                <w:rFonts w:hint="eastAsia" w:ascii="宋体" w:hAnsi="宋体" w:cs="宋体"/>
                <w:szCs w:val="21"/>
              </w:rPr>
              <w:t>---</w:t>
            </w:r>
          </w:p>
        </w:tc>
        <w:tc>
          <w:tcPr>
            <w:tcW w:w="3168" w:type="dxa"/>
          </w:tcPr>
          <w:p>
            <w:pPr>
              <w:spacing w:line="440" w:lineRule="exact"/>
              <w:rPr>
                <w:rFonts w:hint="eastAsia" w:ascii="宋体" w:hAnsi="宋体" w:cs="宋体"/>
                <w:b/>
                <w:szCs w:val="21"/>
              </w:rPr>
            </w:pPr>
          </w:p>
        </w:tc>
        <w:tc>
          <w:tcPr>
            <w:tcW w:w="3060" w:type="dxa"/>
          </w:tcPr>
          <w:p>
            <w:pPr>
              <w:spacing w:line="440" w:lineRule="exact"/>
              <w:rPr>
                <w:rFonts w:hint="eastAsia" w:ascii="宋体" w:hAnsi="宋体" w:cs="宋体"/>
                <w:b/>
                <w:szCs w:val="21"/>
              </w:rPr>
            </w:pPr>
          </w:p>
        </w:tc>
        <w:tc>
          <w:tcPr>
            <w:tcW w:w="1160" w:type="dxa"/>
          </w:tcPr>
          <w:p>
            <w:pPr>
              <w:spacing w:line="440" w:lineRule="exact"/>
              <w:rPr>
                <w:rFonts w:hint="eastAsia" w:ascii="宋体" w:hAnsi="宋体" w:cs="宋体"/>
                <w:b/>
                <w:szCs w:val="21"/>
              </w:rPr>
            </w:pPr>
          </w:p>
        </w:tc>
      </w:tr>
    </w:tbl>
    <w:p>
      <w:pPr>
        <w:spacing w:line="440" w:lineRule="exact"/>
        <w:rPr>
          <w:rFonts w:hint="eastAsia" w:ascii="宋体" w:hAnsi="宋体" w:cs="宋体"/>
          <w:szCs w:val="21"/>
        </w:rPr>
      </w:pPr>
    </w:p>
    <w:p>
      <w:pPr>
        <w:spacing w:line="440" w:lineRule="exact"/>
        <w:rPr>
          <w:rFonts w:hint="eastAsia" w:ascii="宋体" w:hAnsi="宋体" w:cs="宋体"/>
          <w:snapToGrid w:val="0"/>
          <w:szCs w:val="21"/>
        </w:rPr>
      </w:pPr>
      <w:r>
        <w:rPr>
          <w:rFonts w:hint="eastAsia" w:ascii="宋体" w:hAnsi="宋体" w:cs="宋体"/>
          <w:szCs w:val="21"/>
        </w:rPr>
        <w:t>注：投标人必须将投标文件中的相关内容按上述要求及以上格式，逐条对应填写</w:t>
      </w:r>
      <w:r>
        <w:rPr>
          <w:rFonts w:hint="eastAsia" w:ascii="宋体" w:hAnsi="宋体" w:cs="宋体"/>
          <w:snapToGrid w:val="0"/>
          <w:szCs w:val="21"/>
        </w:rPr>
        <w:t>，以便评委进行评标，未按以上格式逐条填写导致条理不清，解释不明的，</w:t>
      </w:r>
      <w:r>
        <w:rPr>
          <w:rFonts w:hint="eastAsia" w:ascii="宋体" w:hAnsi="宋体" w:cs="宋体"/>
          <w:szCs w:val="21"/>
        </w:rPr>
        <w:t>评标委员会</w:t>
      </w:r>
      <w:r>
        <w:rPr>
          <w:rFonts w:hint="eastAsia" w:ascii="宋体" w:hAnsi="宋体" w:cs="宋体"/>
          <w:snapToGrid w:val="0"/>
          <w:szCs w:val="21"/>
        </w:rPr>
        <w:t>将做出不利于投标人的</w:t>
      </w:r>
      <w:r>
        <w:rPr>
          <w:rFonts w:hint="eastAsia" w:ascii="宋体" w:hAnsi="宋体" w:cs="宋体"/>
          <w:szCs w:val="21"/>
        </w:rPr>
        <w:t>判断</w:t>
      </w:r>
      <w:r>
        <w:rPr>
          <w:rFonts w:hint="eastAsia" w:ascii="宋体" w:hAnsi="宋体" w:cs="宋体"/>
          <w:snapToGrid w:val="0"/>
          <w:szCs w:val="21"/>
        </w:rPr>
        <w:t>。</w:t>
      </w:r>
    </w:p>
    <w:p>
      <w:pPr>
        <w:spacing w:line="440" w:lineRule="exact"/>
        <w:rPr>
          <w:rFonts w:hint="eastAsia" w:ascii="宋体" w:hAnsi="宋体" w:cs="宋体"/>
          <w:b/>
          <w:szCs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投标人代表（签字或盖章）</w:t>
      </w:r>
      <w:r>
        <w:rPr>
          <w:rFonts w:hint="eastAsia" w:ascii="宋体" w:hAnsi="宋体" w:cs="宋体"/>
          <w:szCs w:val="21"/>
        </w:rPr>
        <w:t>：</w:t>
      </w:r>
      <w:r>
        <w:rPr>
          <w:rFonts w:hint="eastAsia" w:ascii="宋体" w:hAnsi="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pStyle w:val="11"/>
        <w:ind w:firstLine="480" w:firstLineChars="200"/>
        <w:rPr>
          <w:rFonts w:cs="宋体"/>
          <w:sz w:val="24"/>
          <w:szCs w:val="24"/>
        </w:rPr>
      </w:pPr>
    </w:p>
    <w:p>
      <w:pPr>
        <w:pStyle w:val="11"/>
        <w:rPr>
          <w:rFonts w:cs="宋体"/>
          <w:sz w:val="24"/>
          <w:szCs w:val="24"/>
          <w:u w:val="single"/>
        </w:rPr>
      </w:pPr>
    </w:p>
    <w:p>
      <w:pPr>
        <w:pStyle w:val="10"/>
        <w:ind w:right="281"/>
        <w:rPr>
          <w:rFonts w:hint="eastAsia"/>
          <w:sz w:val="21"/>
          <w:szCs w:val="21"/>
        </w:rPr>
        <w:sectPr>
          <w:pgSz w:w="11906" w:h="16838"/>
          <w:pgMar w:top="1440" w:right="1752" w:bottom="1440" w:left="1752" w:header="851" w:footer="992" w:gutter="0"/>
          <w:cols w:space="720" w:num="1"/>
          <w:titlePg/>
          <w:docGrid w:type="lines" w:linePitch="312" w:charSpace="0"/>
        </w:sectPr>
      </w:pPr>
    </w:p>
    <w:p>
      <w:pPr>
        <w:topLinePunct/>
        <w:autoSpaceDE w:val="0"/>
        <w:autoSpaceDN w:val="0"/>
        <w:jc w:val="center"/>
        <w:rPr>
          <w:rFonts w:hint="eastAsia" w:ascii="华文中宋" w:hAnsi="华文中宋" w:eastAsia="华文中宋" w:cs="华文中宋"/>
          <w:bCs/>
          <w:sz w:val="84"/>
          <w:szCs w:val="84"/>
        </w:rPr>
      </w:pPr>
      <w:bookmarkStart w:id="73" w:name="_Toc18303"/>
      <w:bookmarkStart w:id="74" w:name="_Toc132880285"/>
      <w:r>
        <w:rPr>
          <w:rFonts w:hint="eastAsia" w:ascii="华文中宋" w:hAnsi="华文中宋" w:eastAsia="华文中宋" w:cs="华文中宋"/>
          <w:bCs/>
          <w:sz w:val="84"/>
          <w:szCs w:val="84"/>
        </w:rPr>
        <w:t>招 标 文 件</w:t>
      </w:r>
    </w:p>
    <w:p>
      <w:pPr>
        <w:topLinePunct/>
        <w:autoSpaceDE w:val="0"/>
        <w:autoSpaceDN w:val="0"/>
        <w:spacing w:line="60" w:lineRule="exact"/>
        <w:jc w:val="center"/>
        <w:rPr>
          <w:rFonts w:hint="eastAsia" w:ascii="华文中宋" w:hAnsi="华文中宋" w:eastAsia="华文中宋" w:cs="华文中宋"/>
          <w:bCs/>
          <w:sz w:val="84"/>
          <w:szCs w:val="84"/>
        </w:rPr>
      </w:pPr>
    </w:p>
    <w:p>
      <w:pPr>
        <w:topLinePunct/>
        <w:autoSpaceDE w:val="0"/>
        <w:autoSpaceDN w:val="0"/>
        <w:snapToGrid w:val="0"/>
        <w:jc w:val="center"/>
        <w:rPr>
          <w:rFonts w:hint="eastAsia" w:ascii="华文中宋" w:hAnsi="华文中宋" w:eastAsia="华文中宋" w:cs="华文中宋"/>
          <w:bCs/>
          <w:sz w:val="84"/>
          <w:szCs w:val="84"/>
        </w:rPr>
      </w:pPr>
      <w:r>
        <w:rPr>
          <w:rFonts w:hint="eastAsia" w:ascii="华文中宋" w:hAnsi="华文中宋" w:eastAsia="华文中宋" w:cs="华文中宋"/>
          <w:bCs/>
          <w:sz w:val="84"/>
          <w:szCs w:val="84"/>
        </w:rPr>
        <w:t>（技术部分）</w:t>
      </w:r>
    </w:p>
    <w:p>
      <w:pPr>
        <w:topLinePunct/>
        <w:autoSpaceDE w:val="0"/>
        <w:autoSpaceDN w:val="0"/>
        <w:snapToGrid w:val="0"/>
        <w:rPr>
          <w:rFonts w:hint="eastAsia" w:ascii="华文中宋" w:hAnsi="华文中宋" w:eastAsia="华文中宋" w:cs="华文中宋"/>
          <w:bCs/>
          <w:sz w:val="32"/>
          <w:szCs w:val="32"/>
        </w:rPr>
      </w:pPr>
    </w:p>
    <w:p>
      <w:pPr>
        <w:jc w:val="center"/>
        <w:rPr>
          <w:rFonts w:hint="eastAsia" w:ascii="方正小标宋简体" w:hAnsi="方正小标宋简体" w:eastAsia="方正小标宋简体" w:cs="方正小标宋简体"/>
          <w:sz w:val="24"/>
          <w:szCs w:val="24"/>
        </w:rPr>
      </w:pPr>
    </w:p>
    <w:p>
      <w:pPr>
        <w:pStyle w:val="2"/>
        <w:numPr>
          <w:ilvl w:val="0"/>
          <w:numId w:val="0"/>
        </w:numPr>
      </w:pPr>
    </w:p>
    <w:p>
      <w:pPr>
        <w:jc w:val="center"/>
        <w:rPr>
          <w:rFonts w:hint="eastAsia" w:ascii="方正小标宋简体" w:hAnsi="方正小标宋简体" w:eastAsia="方正小标宋简体" w:cs="方正小标宋简体"/>
          <w:sz w:val="24"/>
          <w:szCs w:val="24"/>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项目名称：</w:t>
      </w:r>
      <w:r>
        <w:rPr>
          <w:rFonts w:hint="eastAsia" w:ascii="方正小标宋简体" w:hAnsi="方正小标宋简体" w:eastAsia="方正小标宋简体" w:cs="方正小标宋简体"/>
          <w:sz w:val="28"/>
          <w:szCs w:val="28"/>
          <w:u w:val="single"/>
        </w:rPr>
        <w:t>福建税务2024年税费业务场景区块链基础平台应用推广项目</w:t>
      </w:r>
    </w:p>
    <w:p>
      <w:pPr>
        <w:jc w:val="center"/>
        <w:rPr>
          <w:rFonts w:hint="eastAsia" w:ascii="方正小标宋简体" w:hAnsi="方正小标宋简体" w:eastAsia="方正小标宋简体" w:cs="方正小标宋简体"/>
          <w:sz w:val="28"/>
          <w:szCs w:val="28"/>
          <w:u w:val="single"/>
        </w:rPr>
      </w:pPr>
      <w:r>
        <w:rPr>
          <w:rFonts w:hint="eastAsia" w:ascii="方正小标宋简体" w:hAnsi="方正小标宋简体" w:eastAsia="方正小标宋简体" w:cs="方正小标宋简体"/>
          <w:sz w:val="28"/>
          <w:szCs w:val="28"/>
        </w:rPr>
        <w:t>项目编号：</w:t>
      </w:r>
      <w:r>
        <w:rPr>
          <w:rFonts w:hint="eastAsia" w:ascii="方正小标宋简体" w:hAnsi="方正小标宋简体" w:eastAsia="方正小标宋简体" w:cs="方正小标宋简体"/>
          <w:sz w:val="28"/>
          <w:szCs w:val="28"/>
          <w:u w:val="single"/>
        </w:rPr>
        <w:t>FJ2024-DLGK-C0050-B04</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采 购 人：</w:t>
      </w:r>
      <w:r>
        <w:rPr>
          <w:rFonts w:hint="eastAsia" w:ascii="方正小标宋简体" w:hAnsi="方正小标宋简体" w:eastAsia="方正小标宋简体" w:cs="方正小标宋简体"/>
          <w:sz w:val="28"/>
          <w:szCs w:val="28"/>
          <w:u w:val="single"/>
        </w:rPr>
        <w:t>国家税务总局福建省税务局</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采购代理机构：</w:t>
      </w:r>
      <w:r>
        <w:rPr>
          <w:rFonts w:hint="eastAsia" w:ascii="方正小标宋简体" w:hAnsi="方正小标宋简体" w:eastAsia="方正小标宋简体" w:cs="方正小标宋简体"/>
          <w:sz w:val="28"/>
          <w:szCs w:val="28"/>
          <w:u w:val="single"/>
        </w:rPr>
        <w:t>福建省智信招标有限公司</w:t>
      </w:r>
    </w:p>
    <w:p>
      <w:pPr>
        <w:topLinePunct/>
        <w:autoSpaceDE w:val="0"/>
        <w:autoSpaceDN w:val="0"/>
        <w:spacing w:line="460" w:lineRule="exact"/>
        <w:rPr>
          <w:rFonts w:hint="eastAsia" w:ascii="方正小标宋简体" w:hAnsi="方正小标宋简体" w:eastAsia="方正小标宋简体" w:cs="方正小标宋简体"/>
          <w:sz w:val="28"/>
          <w:szCs w:val="28"/>
        </w:rPr>
      </w:pPr>
    </w:p>
    <w:p>
      <w:pPr>
        <w:topLinePunct/>
        <w:autoSpaceDE w:val="0"/>
        <w:autoSpaceDN w:val="0"/>
        <w:spacing w:line="460" w:lineRule="exact"/>
        <w:jc w:val="center"/>
        <w:rPr>
          <w:rFonts w:hint="eastAsia" w:ascii="方正小标宋简体" w:hAnsi="方正小标宋简体" w:eastAsia="方正小标宋简体" w:cs="方正小标宋简体"/>
          <w:sz w:val="28"/>
          <w:szCs w:val="28"/>
        </w:rPr>
      </w:pPr>
    </w:p>
    <w:p>
      <w:pPr>
        <w:topLinePunct/>
        <w:autoSpaceDE w:val="0"/>
        <w:autoSpaceDN w:val="0"/>
        <w:spacing w:line="460" w:lineRule="exact"/>
        <w:jc w:val="center"/>
        <w:rPr>
          <w:rFonts w:hint="eastAsia" w:ascii="方正小标宋简体" w:hAnsi="方正小标宋简体" w:eastAsia="方正小标宋简体" w:cs="方正小标宋简体"/>
          <w:sz w:val="28"/>
          <w:szCs w:val="28"/>
        </w:rPr>
      </w:pPr>
    </w:p>
    <w:p>
      <w:pPr>
        <w:pStyle w:val="2"/>
        <w:numPr>
          <w:ilvl w:val="0"/>
          <w:numId w:val="0"/>
        </w:numPr>
        <w:ind w:leftChars="200"/>
        <w:rPr>
          <w:rFonts w:hint="eastAsia"/>
        </w:rPr>
      </w:pPr>
    </w:p>
    <w:p>
      <w:pPr>
        <w:topLinePunct/>
        <w:autoSpaceDE w:val="0"/>
        <w:autoSpaceDN w:val="0"/>
        <w:spacing w:line="160" w:lineRule="exact"/>
        <w:jc w:val="center"/>
        <w:rPr>
          <w:rFonts w:hint="eastAsia"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u w:val="single"/>
        </w:rPr>
        <w:t>2024</w:t>
      </w:r>
      <w:r>
        <w:rPr>
          <w:rFonts w:hint="eastAsia" w:ascii="方正小标宋简体" w:hAnsi="方正小标宋简体" w:eastAsia="方正小标宋简体" w:cs="方正小标宋简体"/>
          <w:sz w:val="28"/>
          <w:szCs w:val="28"/>
        </w:rPr>
        <w:t>年</w:t>
      </w:r>
      <w:r>
        <w:rPr>
          <w:rFonts w:hint="eastAsia" w:ascii="方正小标宋简体" w:hAnsi="方正小标宋简体" w:eastAsia="方正小标宋简体" w:cs="方正小标宋简体"/>
          <w:sz w:val="28"/>
          <w:szCs w:val="28"/>
          <w:u w:val="single"/>
        </w:rPr>
        <w:t>07</w:t>
      </w:r>
      <w:r>
        <w:rPr>
          <w:rFonts w:hint="eastAsia" w:ascii="方正小标宋简体" w:hAnsi="方正小标宋简体" w:eastAsia="方正小标宋简体" w:cs="方正小标宋简体"/>
          <w:sz w:val="28"/>
          <w:szCs w:val="28"/>
        </w:rPr>
        <w:t>月</w:t>
      </w:r>
      <w:r>
        <w:rPr>
          <w:rFonts w:hint="eastAsia" w:ascii="方正小标宋简体" w:hAnsi="方正小标宋简体" w:eastAsia="方正小标宋简体" w:cs="方正小标宋简体"/>
          <w:sz w:val="28"/>
          <w:szCs w:val="28"/>
          <w:u w:val="single"/>
          <w:lang w:val="en-US" w:eastAsia="zh-CN"/>
        </w:rPr>
        <w:t>24</w:t>
      </w:r>
      <w:r>
        <w:rPr>
          <w:rFonts w:hint="eastAsia" w:ascii="方正小标宋简体" w:hAnsi="方正小标宋简体" w:eastAsia="方正小标宋简体" w:cs="方正小标宋简体"/>
          <w:sz w:val="28"/>
          <w:szCs w:val="28"/>
        </w:rPr>
        <w:t>日</w:t>
      </w:r>
    </w:p>
    <w:p>
      <w:pPr>
        <w:widowControl/>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br w:type="page"/>
      </w:r>
    </w:p>
    <w:p>
      <w:pPr>
        <w:widowControl/>
        <w:jc w:val="center"/>
        <w:outlineLvl w:val="0"/>
        <w:rPr>
          <w:rFonts w:hint="eastAsia" w:ascii="华文中宋" w:hAnsi="华文中宋" w:eastAsia="华文中宋" w:cs="华文中宋"/>
          <w:sz w:val="28"/>
          <w:szCs w:val="28"/>
        </w:rPr>
      </w:pPr>
      <w:r>
        <w:rPr>
          <w:rFonts w:hint="eastAsia" w:ascii="华文中宋" w:hAnsi="华文中宋" w:eastAsia="华文中宋" w:cs="华文中宋"/>
          <w:sz w:val="28"/>
          <w:szCs w:val="28"/>
        </w:rPr>
        <w:t>第六章  项目采购需求</w:t>
      </w:r>
      <w:bookmarkEnd w:id="73"/>
      <w:bookmarkEnd w:id="74"/>
    </w:p>
    <w:p>
      <w:pPr>
        <w:snapToGrid w:val="0"/>
        <w:spacing w:line="400" w:lineRule="exact"/>
        <w:ind w:firstLine="420" w:firstLineChars="200"/>
        <w:outlineLvl w:val="1"/>
        <w:rPr>
          <w:rFonts w:hint="eastAsia" w:ascii="宋体" w:hAnsi="宋体" w:cs="宋体"/>
          <w:b/>
          <w:bCs/>
          <w:szCs w:val="21"/>
        </w:rPr>
      </w:pPr>
      <w:r>
        <w:rPr>
          <w:rFonts w:ascii="Times New Roman" w:hAnsi="Times New Roman"/>
          <w:szCs w:val="21"/>
        </w:rPr>
        <w:t>★</w:t>
      </w:r>
      <w:r>
        <w:rPr>
          <w:rFonts w:hint="eastAsia" w:ascii="宋体" w:hAnsi="宋体" w:cs="宋体"/>
          <w:b/>
          <w:bCs/>
          <w:szCs w:val="21"/>
        </w:rPr>
        <w:t>一、项目概况</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（一）项目背景</w:t>
      </w:r>
    </w:p>
    <w:p>
      <w:pPr>
        <w:snapToGrid w:val="0"/>
        <w:spacing w:line="400" w:lineRule="exact"/>
        <w:ind w:firstLine="420" w:firstLineChars="200"/>
        <w:rPr>
          <w:rFonts w:hint="eastAsia" w:ascii="宋体" w:hAnsi="宋体" w:cs="宋体"/>
          <w:szCs w:val="21"/>
        </w:rPr>
      </w:pPr>
      <w:bookmarkStart w:id="75" w:name="OLE_LINK1"/>
      <w:r>
        <w:rPr>
          <w:rFonts w:hint="eastAsia" w:ascii="宋体" w:hAnsi="宋体" w:cs="宋体"/>
          <w:szCs w:val="21"/>
        </w:rPr>
        <w:t>根据《国家税务总局发票电子化改革（金税四期）工作领导小组办公室关于开展税费业务场景+税务区块链基础平台应用推广工作的通知》（税总金四便函〔2024〕43号）要求，我省应完成税务区块链应用推广上线相关业务场景。结合国家税务总局福建省税务局社会保险处和非税收入处需求，我省税费业务场景区块链基础平台应用拟包括医保缴费、森林植被恢复费征缴、矿产资源专项收入征缴、海域使用金征缴等4个场景，以区块链技术为支撑，利用区块链传输数据实时、防篡改、可追溯、去中心化的特点，与医保部门和林业部门、自然资源部门、银行金融部门同步开展系统建设，通过“一方提交、多方共识”的信息共享渠道，实现数据实时交互；在税务端和协同端部署区块链基础设施，连接区块链对接各方，实时共享参保登记、申报费源审核结果、缴费明细、对账明细，权益实时到账等。</w:t>
      </w:r>
    </w:p>
    <w:bookmarkEnd w:id="75"/>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（二）项目内容</w:t>
      </w:r>
    </w:p>
    <w:p>
      <w:pPr>
        <w:snapToGrid w:val="0"/>
        <w:spacing w:line="400" w:lineRule="exact"/>
        <w:ind w:firstLine="420" w:firstLineChars="200"/>
        <w:rPr>
          <w:rFonts w:hint="eastAsia" w:ascii="宋体" w:hAnsi="宋体" w:cs="宋体"/>
          <w:szCs w:val="21"/>
        </w:rPr>
      </w:pPr>
      <w:r>
        <w:rPr>
          <w:rFonts w:hint="eastAsia" w:ascii="宋体" w:hAnsi="宋体" w:cs="宋体"/>
          <w:szCs w:val="21"/>
        </w:rPr>
        <w:t>按照“平台部署实施”+“业务场景应用”的项目建设思路，完成税务区块链基础平台的部署和验证，并且会同医保部门、林业部门、自然资源部门、银行金融部门等，开展“税务区块链+医保缴费”、“税务区块链+森林植被恢复费征缴”、“税务区块链+矿产资源专项收入征缴”、“税务区块链+海域使用金征缴”场景上线应用。</w:t>
      </w:r>
    </w:p>
    <w:p>
      <w:pPr>
        <w:snapToGrid w:val="0"/>
        <w:spacing w:line="400" w:lineRule="exact"/>
        <w:ind w:firstLine="422" w:firstLineChars="200"/>
        <w:outlineLvl w:val="0"/>
        <w:rPr>
          <w:rFonts w:hint="eastAsia" w:ascii="宋体" w:hAnsi="宋体" w:cs="宋体"/>
          <w:b/>
          <w:bCs/>
          <w:szCs w:val="21"/>
        </w:rPr>
      </w:pPr>
      <w:r>
        <w:rPr>
          <w:rFonts w:hint="eastAsia" w:ascii="宋体" w:hAnsi="宋体" w:cs="宋体"/>
          <w:b/>
          <w:bCs/>
          <w:szCs w:val="21"/>
        </w:rPr>
        <w:t>二、投标响应要求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一）投标人应对招标文件中项目需求部分进行逐一响应，须充分理解项目招标内容，对项目总体要求、招标内容及要求、项目实施要求、技术支持服务要求、项目验收要求、其他要求等内容进行详细、深入阐述和分析。</w:t>
      </w:r>
    </w:p>
    <w:p>
      <w:pPr>
        <w:snapToGrid w:val="0"/>
        <w:spacing w:line="400" w:lineRule="exact"/>
        <w:ind w:firstLine="420" w:firstLineChars="200"/>
        <w:rPr>
          <w:rFonts w:hint="eastAsia" w:ascii="宋体" w:hAnsi="宋体" w:cs="宋体"/>
          <w:szCs w:val="21"/>
        </w:rPr>
      </w:pPr>
      <w:r>
        <w:rPr>
          <w:rFonts w:hint="eastAsia" w:ascii="宋体" w:hAnsi="宋体" w:cs="宋体"/>
          <w:szCs w:val="21"/>
        </w:rPr>
        <w:t>（二）投标人根据招标文件中的技术支持服务需求编写技术支持服务方案，包括但不限于服务范围、内容、方式、响应要求、技术要求等要求做到完整、详细，具有可操作性。</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（三）投标人根据招标文件中的技术支持服务需求编写项目实施方案，包括但不限于实施进度计划、组织架构、人员保障、组织管理、质量管理等要求做到完整、详细，具有可操作性。</w:t>
      </w:r>
    </w:p>
    <w:p>
      <w:pPr>
        <w:snapToGrid w:val="0"/>
        <w:spacing w:line="400" w:lineRule="exact"/>
        <w:ind w:firstLine="420" w:firstLineChars="200"/>
        <w:rPr>
          <w:rFonts w:hint="eastAsia" w:ascii="宋体" w:hAnsi="宋体" w:cs="宋体"/>
          <w:szCs w:val="21"/>
        </w:rPr>
      </w:pPr>
      <w:r>
        <w:rPr>
          <w:rFonts w:hint="eastAsia" w:ascii="宋体" w:hAnsi="宋体" w:cs="宋体"/>
          <w:szCs w:val="21"/>
        </w:rPr>
        <w:t>（四）投标人须按照本项目验收要求编制项目验收方案，内容包括但不限于验收内容、验收方式、验收测试、验收流程、验收交付物等。验收方案必须具备完整性、详细性和可操作性。</w:t>
      </w:r>
    </w:p>
    <w:p>
      <w:pPr>
        <w:snapToGrid w:val="0"/>
        <w:spacing w:line="400" w:lineRule="exact"/>
        <w:ind w:firstLine="643"/>
        <w:outlineLvl w:val="0"/>
        <w:rPr>
          <w:rFonts w:hint="eastAsia" w:ascii="宋体" w:hAnsi="宋体" w:cs="宋体"/>
          <w:b/>
          <w:bCs/>
          <w:szCs w:val="21"/>
        </w:rPr>
      </w:pPr>
      <w:r>
        <w:rPr>
          <w:rFonts w:ascii="Times New Roman" w:hAnsi="Times New Roman"/>
          <w:szCs w:val="21"/>
        </w:rPr>
        <w:t>★</w:t>
      </w:r>
      <w:r>
        <w:rPr>
          <w:rFonts w:hint="eastAsia" w:ascii="宋体" w:hAnsi="宋体" w:cs="宋体"/>
          <w:b/>
          <w:bCs/>
          <w:szCs w:val="21"/>
        </w:rPr>
        <w:t>三、技术要求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按系统相关性本项目分为四个包。包1“税务区块链基础平台部署实施和上下链接口服务”，预算金额为117.31万元；包2“社保费管理子系统及对账平台上下链、权益实时到账</w:t>
      </w:r>
      <w:r>
        <w:rPr>
          <w:rFonts w:hint="eastAsia" w:ascii="宋体" w:hAnsi="宋体" w:cs="宋体"/>
          <w:szCs w:val="21"/>
          <w:lang w:val="en-US" w:eastAsia="zh-CN"/>
        </w:rPr>
        <w:t>服务</w:t>
      </w:r>
      <w:r>
        <w:rPr>
          <w:rFonts w:hint="eastAsia" w:ascii="宋体" w:hAnsi="宋体" w:cs="宋体"/>
          <w:szCs w:val="21"/>
        </w:rPr>
        <w:t>”，预算金额为103.41万元；包3“社保费征收子系统上下链</w:t>
      </w:r>
      <w:r>
        <w:rPr>
          <w:rFonts w:hint="eastAsia" w:ascii="宋体" w:hAnsi="宋体" w:cs="宋体"/>
          <w:szCs w:val="21"/>
          <w:lang w:val="en-US" w:eastAsia="zh-CN"/>
        </w:rPr>
        <w:t>服务</w:t>
      </w:r>
      <w:r>
        <w:rPr>
          <w:rFonts w:hint="eastAsia" w:ascii="宋体" w:hAnsi="宋体" w:cs="宋体"/>
          <w:szCs w:val="21"/>
        </w:rPr>
        <w:t>”，预算金额为10.66万元；包4“闽费通非税相关功能改造及上下链</w:t>
      </w:r>
      <w:r>
        <w:rPr>
          <w:rFonts w:hint="eastAsia" w:ascii="宋体" w:hAnsi="宋体" w:cs="宋体"/>
          <w:szCs w:val="21"/>
          <w:lang w:val="en-US" w:eastAsia="zh-CN"/>
        </w:rPr>
        <w:t>服务</w:t>
      </w:r>
      <w:r>
        <w:rPr>
          <w:rFonts w:hint="eastAsia" w:ascii="宋体" w:hAnsi="宋体" w:cs="宋体"/>
          <w:szCs w:val="21"/>
        </w:rPr>
        <w:t>”，预算金额为38.45万元。</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（一）采购包1“税务区块链基础平台部署实施和上下链接口服务”项目技术需求</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１．税务区块链基础平台部署实施服务</w:t>
      </w:r>
    </w:p>
    <w:p>
      <w:pPr>
        <w:snapToGrid w:val="0"/>
        <w:spacing w:line="400" w:lineRule="exact"/>
        <w:ind w:firstLine="420" w:firstLineChars="200"/>
        <w:rPr>
          <w:rFonts w:hint="eastAsia" w:ascii="宋体" w:hAnsi="宋体" w:cs="宋体"/>
          <w:szCs w:val="21"/>
        </w:rPr>
      </w:pPr>
      <w:r>
        <w:rPr>
          <w:rFonts w:hint="eastAsia" w:ascii="宋体" w:hAnsi="宋体" w:cs="宋体"/>
          <w:szCs w:val="21"/>
        </w:rPr>
        <w:t>税务区块链基础平台部署实施主要包括服务器、网络、系统软件等基础资源的评估与准备、税务区块链基础平台福建省局端部署实施，以及系统集成、系统初始化、联调测试和安全管理等工作。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（1）统筹完成福建省税务局税务区块链应用设计方案、上线实施方案和计划的编制及项目跟踪管控。</w:t>
      </w:r>
    </w:p>
    <w:p>
      <w:pPr>
        <w:snapToGrid w:val="0"/>
        <w:spacing w:line="400" w:lineRule="exact"/>
        <w:ind w:firstLine="420" w:firstLineChars="200"/>
        <w:rPr>
          <w:rFonts w:hint="eastAsia" w:ascii="宋体" w:hAnsi="宋体" w:cs="宋体"/>
          <w:szCs w:val="21"/>
        </w:rPr>
      </w:pPr>
      <w:r>
        <w:rPr>
          <w:rFonts w:hint="eastAsia" w:ascii="宋体" w:hAnsi="宋体" w:cs="宋体"/>
          <w:szCs w:val="21"/>
        </w:rPr>
        <w:t>（2）配合业务部门、技术部门、协同部门、应用服务商等开展税务区块链项目方案研讨、需求对接、方案对接、技术对接、协议谈签等。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（3）根据税务区块链生产和预生产资源配置要求，统筹完成金税云资源评估、创建等部署服务。</w:t>
      </w:r>
    </w:p>
    <w:p>
      <w:pPr>
        <w:snapToGrid w:val="0"/>
        <w:spacing w:line="400" w:lineRule="exact"/>
        <w:ind w:firstLine="420" w:firstLineChars="200"/>
        <w:rPr>
          <w:rFonts w:hint="eastAsia" w:ascii="宋体" w:hAnsi="宋体" w:cs="宋体"/>
          <w:szCs w:val="21"/>
        </w:rPr>
      </w:pPr>
      <w:r>
        <w:rPr>
          <w:rFonts w:hint="eastAsia" w:ascii="宋体" w:hAnsi="宋体" w:cs="宋体"/>
          <w:szCs w:val="21"/>
        </w:rPr>
        <w:t>（4）统筹完成税务区块链资源检查、安全策略、签发证书、基础链部署、监控管理系统部署等部署实施工作。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（5）统筹完成税务区块链总省连通性测试、税务内部应用连通性测试、协同部门应用连通性测试等部署验证工作。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（6）统筹完成压力测试工作，配合完成安全测试工作，包括配合开展安全漏洞扫描，完成安全漏洞修复等。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（7）统筹完成密码服务组件、税务数字证书、统一身份管理平台、多云运维平台等系统集成。</w:t>
      </w:r>
    </w:p>
    <w:p>
      <w:pPr>
        <w:snapToGrid w:val="0"/>
        <w:spacing w:line="400" w:lineRule="exact"/>
        <w:ind w:firstLine="420" w:firstLineChars="200"/>
        <w:rPr>
          <w:rFonts w:hint="eastAsia" w:ascii="宋体" w:hAnsi="宋体" w:cs="宋体"/>
          <w:szCs w:val="21"/>
        </w:rPr>
      </w:pPr>
      <w:r>
        <w:rPr>
          <w:rFonts w:hint="eastAsia" w:ascii="宋体" w:hAnsi="宋体" w:cs="宋体"/>
          <w:szCs w:val="21"/>
        </w:rPr>
        <w:t>（8）统筹完成相关初始化工作，包括底链、监控平台、参与方、业务类型等。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（9）统筹项目上线工作，包括上线检查、冒烟测试等。</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２．税务区块链+医保缴费场景上线服务</w:t>
      </w:r>
    </w:p>
    <w:p>
      <w:pPr>
        <w:snapToGrid w:val="0"/>
        <w:spacing w:line="400" w:lineRule="exact"/>
        <w:ind w:firstLine="420" w:firstLineChars="200"/>
        <w:rPr>
          <w:rFonts w:hint="eastAsia" w:ascii="宋体" w:hAnsi="宋体" w:cs="宋体"/>
          <w:szCs w:val="21"/>
        </w:rPr>
      </w:pPr>
      <w:r>
        <w:rPr>
          <w:rFonts w:hint="eastAsia" w:ascii="宋体" w:hAnsi="宋体" w:cs="宋体"/>
          <w:szCs w:val="21"/>
        </w:rPr>
        <w:t>税务区块链+医保缴费场景上线主要包含以下几方面内容：</w:t>
      </w:r>
    </w:p>
    <w:p>
      <w:pPr>
        <w:snapToGrid w:val="0"/>
        <w:spacing w:line="400" w:lineRule="exact"/>
        <w:ind w:firstLine="420" w:firstLineChars="200"/>
        <w:rPr>
          <w:rFonts w:hint="eastAsia" w:ascii="宋体" w:hAnsi="宋体" w:cs="宋体"/>
          <w:szCs w:val="21"/>
        </w:rPr>
      </w:pPr>
      <w:r>
        <w:rPr>
          <w:rFonts w:hint="eastAsia" w:ascii="宋体" w:hAnsi="宋体" w:cs="宋体"/>
          <w:szCs w:val="21"/>
        </w:rPr>
        <w:t>（1）税务区块链+医保缴费场景医保部门区块链接入上下链接口服务以及业务联调测试，主要包括单位参保登记信息、职工个人参保登记信息、灵活就业参保登记信息、城乡居民参保登记信息、特殊缴费业务信息、单位到账处理结果反馈信息、职工到账处理结果反馈信息、灵活就业人员到账处理结果反馈信息、城乡居民到账处理结果反馈信息、特殊缴费业务到账处理结果反馈信息、单位缴费信息、职工个人缴费明细信息、灵活就业人员缴费信息、城乡居民缴费信息、特殊缴费业务缴费信息、城乡居民缴费信息查询实时、职工个人账户代缴关系信息等接口。</w:t>
      </w:r>
    </w:p>
    <w:p>
      <w:pPr>
        <w:snapToGrid w:val="0"/>
        <w:spacing w:line="400" w:lineRule="exact"/>
        <w:ind w:firstLine="420" w:firstLineChars="200"/>
        <w:rPr>
          <w:rFonts w:hint="eastAsia" w:ascii="宋体" w:hAnsi="宋体" w:cs="宋体"/>
          <w:szCs w:val="21"/>
        </w:rPr>
      </w:pPr>
      <w:r>
        <w:rPr>
          <w:rFonts w:hint="eastAsia" w:ascii="宋体" w:hAnsi="宋体" w:cs="宋体"/>
          <w:szCs w:val="21"/>
        </w:rPr>
        <w:t>（2）税务区块链+医保缴费场景税务部门区块链接入上下链接口服务以及业务联调测试，主要包括单位参保登记信息、职工个人参保登记信息、灵活就业参保登记信息、城乡居民参保登记信息、特殊缴费业务信息、单位到账处理结果反馈信息、职工到账处理结果反馈信息、灵活就业人员到账处理结果反馈信息、城乡居民到账处理结果反馈信息、特殊缴费业务到账处理结果反馈信息、单位缴费信息、职工个人缴费明细信息、灵活就业人员缴费信息、城乡居民缴费信息、特殊缴费业务缴费信息、城乡居民缴费信息查询实时、职工个人账户代缴关系信息等接口。</w:t>
      </w:r>
    </w:p>
    <w:p>
      <w:pPr>
        <w:snapToGrid w:val="0"/>
        <w:spacing w:line="400" w:lineRule="exact"/>
        <w:ind w:firstLine="420" w:firstLineChars="200"/>
        <w:rPr>
          <w:rFonts w:hint="eastAsia" w:ascii="宋体" w:hAnsi="宋体" w:cs="宋体"/>
          <w:szCs w:val="21"/>
        </w:rPr>
      </w:pPr>
      <w:r>
        <w:rPr>
          <w:rFonts w:hint="eastAsia" w:ascii="宋体" w:hAnsi="宋体" w:cs="宋体"/>
          <w:szCs w:val="21"/>
        </w:rPr>
        <w:t>（3）税务区块链+医保缴费场景银行部门区块链接入上下链接口服务以及业务联调测试，主要包括银联、农行和农信银行。</w:t>
      </w:r>
    </w:p>
    <w:p>
      <w:pPr>
        <w:snapToGrid w:val="0"/>
        <w:spacing w:line="400" w:lineRule="exact"/>
        <w:ind w:firstLine="420" w:firstLineChars="200"/>
        <w:rPr>
          <w:rFonts w:hint="eastAsia" w:ascii="宋体" w:hAnsi="宋体" w:cs="宋体"/>
          <w:szCs w:val="21"/>
        </w:rPr>
      </w:pPr>
      <w:r>
        <w:rPr>
          <w:rFonts w:hint="eastAsia" w:ascii="宋体" w:hAnsi="宋体" w:cs="宋体"/>
          <w:szCs w:val="21"/>
        </w:rPr>
        <w:t>（4）完成社保费信息共享平台适配改造，确保税务区块链和信息共享平台双通道运行，既要实现试点地区税务区块链数据共享交换顺利上线，也要保障非试点地区社保费信息共享平台稳定运行。</w:t>
      </w:r>
    </w:p>
    <w:p>
      <w:pPr>
        <w:snapToGrid w:val="0"/>
        <w:spacing w:line="400" w:lineRule="exact"/>
        <w:ind w:firstLine="420" w:firstLineChars="200"/>
        <w:rPr>
          <w:rFonts w:hint="eastAsia" w:ascii="宋体" w:hAnsi="宋体" w:cs="宋体"/>
          <w:szCs w:val="21"/>
        </w:rPr>
      </w:pPr>
      <w:r>
        <w:rPr>
          <w:rFonts w:hint="eastAsia" w:ascii="宋体" w:hAnsi="宋体" w:cs="宋体"/>
          <w:szCs w:val="21"/>
        </w:rPr>
        <w:t>（5）配合推进各部门、各系统厂商开展全业务全流程全场景联调测试及医保缴费业务场景实施上线。</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３．税务区块链+森林植被恢复费场景上线服务</w:t>
      </w:r>
    </w:p>
    <w:p>
      <w:pPr>
        <w:snapToGrid w:val="0"/>
        <w:spacing w:line="400" w:lineRule="exact"/>
        <w:ind w:firstLine="420" w:firstLineChars="200"/>
        <w:rPr>
          <w:rFonts w:hint="eastAsia" w:ascii="宋体" w:hAnsi="宋体" w:cs="宋体"/>
          <w:szCs w:val="21"/>
        </w:rPr>
      </w:pPr>
      <w:r>
        <w:rPr>
          <w:rFonts w:hint="eastAsia" w:ascii="宋体" w:hAnsi="宋体" w:cs="宋体"/>
          <w:szCs w:val="21"/>
        </w:rPr>
        <w:t>税务区块链+森林植被恢复费场景上线主要包含以下几方面内容：</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税务区块链+森林植被恢复费场景林业部门、政务信息共享平台区块链接入上下链接口服务以及业务联调测试，主要包括费源信息、审核信息、申报信息、缴款信息、退费信息以及票据开具信息（不含非结构化文件）等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税务区块链+森林植被恢复费场景税务部门电子税务局区块链接入上下链接口服务以及业务联调测试，主要包括费源信息、审核信息、申报信息、缴款信息、退费信息以及票据开具信息（不含非结构化文件）等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（3）配合推进各部门、各系统厂商开展全业务全流程全场景联调测试及森林植被恢复费业务场景实施上线。</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４．税务区块链+海域使用金缴费场景上链服务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税务区块链+海域使用金缴费场景上线主要包含以下几方面内容：</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税务区块链+海域使用金缴费场景自然资源部门、数据共享平台区块链接入上下链接口服务以及业务联调测试，主要包括缴费人基础信息、费源信息、申报缴费信息、退费信息以及票据开具信息（不含非结构化文件）等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税务区块链+海域使用金缴费场景税务部门电子税务局区块链接入上下链接口服务以及业务联调测试，主要包括缴费人基础信息、费源信息、申报缴费信息、退费信息以及票据开具信息（不含非结构化文件）等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（3）配合推进各部门、各系统厂商开展全业务全流程全场景联调测试及海域使用金业务场景实施上线。</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５．税务区块链+矿产资源专项收入缴费场景上链服务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税务区块链+矿产资源专项收入缴费场景上线主要包含以下几方面内容：</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税务区块链+矿产资源专项收入缴费场景自然资源部门、数据共享平台区块链接入上下链接口服务以及业务联调测试，主要包括缴费人基础信息、费源信息、申报缴费信息、退费信息以及票据开具信息（不含非结构化文件）等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税务区块链+矿产资源专项收入缴费场景税务部门电子税务局区块链接入上下链接口服务以及业务联调测试，主要包括缴费人基础信息、费源信息、申报缴费信息、退费信息以及票据开具信息（不含非结构化文件）等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（3）配合推进各部门、各系统厂商开展全业务全流程全场景联调测试及矿产资源专项收入业务场景实施上线。</w:t>
      </w:r>
    </w:p>
    <w:p>
      <w:pPr>
        <w:snapToGrid w:val="0"/>
        <w:spacing w:line="400" w:lineRule="exact"/>
        <w:ind w:firstLine="420" w:firstLineChars="200"/>
        <w:outlineLvl w:val="1"/>
        <w:rPr>
          <w:rFonts w:hint="eastAsia" w:ascii="宋体" w:hAnsi="宋体" w:cs="宋体"/>
          <w:szCs w:val="21"/>
        </w:rPr>
      </w:pPr>
      <w:bookmarkStart w:id="76" w:name="_Hlk163686924"/>
      <w:r>
        <w:rPr>
          <w:rFonts w:hint="eastAsia" w:ascii="宋体" w:hAnsi="宋体" w:cs="宋体"/>
          <w:szCs w:val="21"/>
        </w:rPr>
        <w:t>６．税务区块链基础平台业务应用功能建设</w:t>
      </w:r>
      <w:bookmarkEnd w:id="76"/>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税务区块链基础平台作为基础设施，主要提供技术应用方面的能力，数据上链后完全加密，不利于业务人员应用。为满足税务区块链上链数据从业务视角可查询、可追溯，为业务人员提供更加优质的可视化应用服务，建设税务区块链上链数据追溯、数据监控和数据分析应用功能。主要包括一是税务区块链+医保缴费场景业务查询，二是税务区块链+森林植被恢复费场景业务查询，三是税务区块链+海域使用金缴费场景业务查询，四是税务区块链+矿产资源专项收入缴费场景业务查询。</w:t>
      </w:r>
    </w:p>
    <w:p>
      <w:pPr>
        <w:snapToGrid w:val="0"/>
        <w:spacing w:line="400" w:lineRule="exact"/>
        <w:ind w:firstLine="420" w:firstLineChars="200"/>
        <w:outlineLvl w:val="1"/>
        <w:rPr>
          <w:rFonts w:hint="eastAsia" w:ascii="宋体" w:hAnsi="宋体" w:cs="宋体"/>
          <w:szCs w:val="21"/>
        </w:rPr>
      </w:pPr>
      <w:bookmarkStart w:id="77" w:name="_Hlk164709130"/>
      <w:r>
        <w:rPr>
          <w:rFonts w:hint="eastAsia" w:ascii="宋体" w:hAnsi="宋体" w:cs="宋体"/>
          <w:szCs w:val="21"/>
        </w:rPr>
        <w:t>７．等保测评及安全测试相关服务</w:t>
      </w:r>
      <w:bookmarkEnd w:id="77"/>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国家税务总局办公厅关于印发&lt;网络安全工作责任清单（试行）&gt;的通知》(税总办发〔2020〕61号)要求，组织完成福建省税务局税务区块链基础平台等保测评、密评、漏洞扫描及渗透测试等工作。一是组织开展税务区块链基础平台网络安全等级保护定级备案（三级），完成网络安全等级保护测评和密码应用安全性评估工作。二是源代码审计、安全功能测评，组织开展税务区块链基础平台的漏洞扫描与渗透测试工作，并且配合完成基础环境的漏洞修复和安全加固。</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（二）采购包2“社保费管理子系统及对账平台上下链、权益实时到账</w:t>
      </w:r>
      <w:r>
        <w:rPr>
          <w:rFonts w:hint="eastAsia" w:ascii="宋体" w:hAnsi="宋体" w:cs="宋体"/>
          <w:b/>
          <w:bCs/>
          <w:szCs w:val="21"/>
          <w:lang w:val="en-US" w:eastAsia="zh-CN"/>
        </w:rPr>
        <w:t>服务</w:t>
      </w:r>
      <w:r>
        <w:rPr>
          <w:rFonts w:hint="eastAsia" w:ascii="宋体" w:hAnsi="宋体" w:cs="宋体"/>
          <w:b/>
          <w:bCs/>
          <w:szCs w:val="21"/>
        </w:rPr>
        <w:t>”项目技术需求</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1.医保登记缴费数据上下链数据交互交互场景功能</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改造金税三期社会保险费征管信息系统（管理子系统部分），在原有信息共享平台交互的基础上，基于税务区块链基础平台，连接区块链实时接收医保部门的参保登记、费款核定、费款核定撤销等数据，向医保部门实时共享申报缴费明细等数据。</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涉及用人单位、灵活就业人员、城乡居民的医保参保登记信息和特殊缴费业务信息进行接收处理，并将已缴费数据实时传递给医保相关系统，并接收医保到账反馈信息等。</w:t>
      </w:r>
    </w:p>
    <w:p>
      <w:pPr>
        <w:snapToGrid w:val="0"/>
        <w:spacing w:line="400" w:lineRule="exact"/>
        <w:ind w:firstLine="420" w:firstLineChars="200"/>
        <w:outlineLvl w:val="1"/>
        <w:rPr>
          <w:rFonts w:hint="eastAsia" w:ascii="宋体" w:hAnsi="宋体" w:cs="宋体"/>
          <w:szCs w:val="21"/>
        </w:rPr>
      </w:pPr>
      <w:bookmarkStart w:id="78" w:name="_Toc122702727"/>
      <w:r>
        <w:rPr>
          <w:rFonts w:hint="eastAsia" w:ascii="宋体" w:hAnsi="宋体" w:cs="宋体"/>
          <w:szCs w:val="21"/>
        </w:rPr>
        <w:t>（1）单位参保登记信息</w:t>
      </w:r>
      <w:bookmarkEnd w:id="78"/>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①实时订阅单位参保登记信息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医保部门对应单位参保登记信息上链后，实时订阅单位参保登记信息。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②实时保存订阅到的单位参保登记信息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根据实时订阅到单位参保登记信息，按照接口规范接口进行解密保存。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（2）职工个人参保登记信息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①实时订阅职工个人参保登记信息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医保部门对应职工个人参保登记信息上链后，实时订阅职工个人参保登记信息。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②实时保存订阅到的职工个人参保登记信息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根据实时订阅到职工个人参保登记信息，按照接口规范接口进行解密保存。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（3）灵活就业参保登记信息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①实时订阅灵活就业参保登记信息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医保部门对应灵活就业参保登记信息上链后，实时订阅灵活就业参保登记信息。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②实时保存订阅到的灵活就业参保登记信息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根据实时订阅到灵活就业参保登记信息，按照接口规范接口进行解密保存。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（4）城乡居民参保登记信息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①实时订阅城乡居民参保登记信息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医保部门对应城乡居民参保登记信息上链后，实时订阅城乡居民参保登记信息。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②实时保存订阅到的城乡居民参保登记信息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根据实时订阅到城乡居民参保登记信息，按照接口规范接口进行解密保存。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（5）特殊缴费业务信息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①实时订阅特殊缴费业务信息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医保部门对应特殊缴费业务信息上链后，实时订阅特殊缴费业务信息。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②实时保存订阅到的特殊缴费业务信息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根据实时订阅到特殊缴费业务信息，按照接口规范接口进行解密保存。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（6）社保费到账处理结果反馈信息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①实时订阅社保费到账处理结果反馈信息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医保部门对应社保费到账处理结果反馈信息上链后，实时订阅社保费到账处理结果反馈信息。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②实时保存订阅到的社保费到账处理结果反馈信息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根据实时订阅到社保费到账处理结果反馈信息，按照接口规范接口进行解密保存。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（7）单位缴费信息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①单位缴费信息进行实时上链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单位缴费信息在社保费管理子系统组织生成后，根据税务区块链基础平台应用接口规范及密码设备接口开发规范实现实时上链。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②上链失败的单位缴费信息重新上链（定时任务）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定时任务查找上链失败的单位缴费信息，并根据接口规范（同上）重新上链。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（8）职工个人缴费明细信息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①职工个人缴费明细信息进行实时上链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职工个人缴费明细信息在社保费管理子系统组织生成后，根据税务区块链基础平台应用接口规范及密码设备接口开发规范实现实时上链。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②上链失败的职工个人缴费明细信息重新上链（定时任务）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定时任务查找上链失败的职工个人缴费明细信息，并根据接口规范（同上）重新上链。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（9）灵活就业人员缴费信息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①灵活就业人员缴费信息进行实时上链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灵活就业人员缴费信息在社保费管理子系统组织生成后，根据税务区块链基础平台应用接口规范及密码设备接口开发规范实现实时上链。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②上链失败的灵活就业人员缴费信息重新上链（定时任务）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定时任务查找上链失败的灵活就业人员缴费信息，并根据接口规范（同上）重新上链。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（10）城乡居民缴费信息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①城乡居民缴费信息进行实时上链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城乡居民缴费信息在社保费管理子系统组织生成后，根据税务区块链基础平台应用接口规范及密码设备接口开发规范实现实时上链。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②上链失败的城乡居民缴费信息重新上链（定时任务）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定时任务查找上链失败的城乡居民缴费信息，并根据接口规范（同上）重新上链。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（11）特殊缴费业务缴费信息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①特殊缴费业务缴费信息进行实时上链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特殊缴费业务缴费信息在社保费管理子系统组织生成后，根据税务区块链基础平台应用接口规范及密码设备接口开发规范实现实时上链。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②上链失败的特殊缴费业务缴费信息重新上链（定时任务）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定时任务查找上链失败的特殊缴费业务缴费信息，并根据接口规范（同上）重新上链。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（12）城乡居民缴费信息查询</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①城乡居民缴费信息在社保费管理子系统组织生成后，根据税务区块链基础平台应用接口规范及密码设备接口开发规范提供实时接口。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②医保部门实时查询城乡居民缴费业务信息接口。</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（13）职工个人账户代缴关系信息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①实时订阅职工个人账户代缴关系信息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医保部门对应职工个人账户代缴关系信息上链后，实时订阅职工个人账户代缴关系信息。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②实时保存订阅到的职工个人账户代缴关系信息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根据实时订阅到职工个人账户代缴关系信息，按照接口规范接口进行解密保存。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（14）业务订阅管理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（15）业务上下链消息流水记录</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业务系统所有与区块链基础设施交互的数据都需要进行流水信息记录，为后续数据上链失败补偿、上链数据问题定位提供支撑。系统需要实现上链数据埋点、记录，并做好数据交互状态维护，确保上链数据记录完整、状态准确，支持数据审计需要。</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（16）消息流水清理管理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上链数据流水表随着业务办理量、系统运行时间的增加，数据量会越来越多，当数据量达到一定量级，会影响数据补偿效率，进而影响业务办理的时效性。系统需定时任务进行消息流水表的数据清理功能，包括清理定时任务、清理数据范围设置、清理频率设置、清理结果查看、定时任务执行记录监控等功能。</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（17）业务补偿管理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业务系统数据上链可能因网络、系统可用性、数据质量、数据校验等原因导致数据上链失败。为保证系统稳定性，系统需要提供前台业务补偿管理功能，包括补偿定时任务开关设置、补偿数据查询、补偿频率设置、补偿次数设置等功能，通过前台可视化页面完成业务的补偿管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（18）业务切换管理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业务系统数据上链需要平稳切换，不影响缴费人办费体验，需要提供前台业务平稳切换管理功能，即：区块链方式或共享平台方式。包括：业务启用开关管理、传输报文加密开关设置等功能，通过前台可视化页面完成业务功能平稳切换。</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2.医保权益实时到账场景功能</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改造金税三期社会保险费征管信息系统（管理子系统部分）和各社保费缴费渠道，在原有缴费功能基础上，基于税务区块链基础平台，让灵活就业人员或者城乡居民缴费人在完成扣款后支持自主发起权益实时到账申请，向医保部门实时共享个人扣款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（1）医保权益实时到账申请及反馈查询（电子税务局Web端）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电子税务局Web端新增个人权益实时到账功能，灵活就业人员、城乡居民进行社保费（医保）申报缴费后，若需医保及时记账，可通过该功能将数据上链，以支持医保权益实时到账。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电子税务局Web端新增个人权益实时到账反馈查询功能，灵活就业人员、城乡居民进行实时到账申请后可通过该功能查询到账反馈下链数据，以确认医保权益实际到账情况。</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（2）医保权益实时到账申请及反馈查询（移动端）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移动端渠道（含：税务APP、微信公众号、闽政通APP、一码即办等）新增个人权益实时到账功能，灵活就业人员、城乡居民进行社保费（医保）申报缴费后，若需医保及时记账，可通过该功能将数据上链，以支持医保权益实时到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移动端渠道（含：税务APP、微信公众号、闽政通APP、一码即办等）新增个人权益实时到账反馈查询功能，灵活就业人员、城乡居民进行实时到账申请后可通过该功能查询到账反馈下链数据，以确认医保权益实际到账情况。</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（3）医保权益实时到账申请及反馈查询（自助终端）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自助终端新增个人权益实时到账功能，灵活就业人员、城乡居民进行社保费（医保）申报缴费后，若需医保及时记账，可通过该功能将数据上链，以支持医保权益实时到账。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自助终端新增个人权益实时到账反馈查询功能，灵活就业人员、城乡居民进行实时到账申请后可通过该功能查询到账反馈下链数据，以确认医保权益实际到账情况。</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（4）城乡居民扣款信息上链信息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①城乡居民人员扣款信息上链信息进行实时上链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城乡居民人员进行医保扣款缴费后，根据税务区块链基础平台应用接口规范及密码设备接口开发规范实现实时上链。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②上链失败的城乡居民人员扣款信息上链信息重新上链（定时任务）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定时任务查找上链失败的城乡居民人员扣款信息上链信息，并根据接口规范（同上）重新上链。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（5）城乡居民医保权益到账信息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①实时订阅城乡居民医保权益到账信息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医保部门对应城乡居民医保权益到账信息上链后，实时订阅城乡居民医保权益到账信息。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②实时保存订阅到的城乡居民医保权益到账信息</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根据实时订阅到城乡居民医保权益到账信息，按照接口规范接口进行解密保存。</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3.医保业务对账分析场景功能</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部署医保业务对账平台，实现收入对账、反馈信息对账、权益对账等，通过业务对账模块完成内部对账工作以及对账差异的分析处理工作，基于基于税务区块链基础平台，将对账结果及明细信息上链，支持医保部门实时共享对账结果、对账明细、差异化明细等数据。</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（1）医保部门数据汇聚和整备</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为了支撑业务对账、数据监控比对的专题应用，对业务场景、表结构、数据流进行梳理和分析后，需要对医保接收的缴费数据进行汇聚和整备，方便数据监控模块加工使用。</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（2）税务部门数据汇聚和整备优化</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为了支撑业务对账的专题应用，对业务场景、表结构、数据流进行梳理和分析后，需要对税务部门的原始数据进行汇聚和整备，方便数据监控模块加工使用。</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（3）征收子系统与国库对账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从国库产生收入日报表数据开始，通过税务金三社保费征管系统传输至国库的入库流水信息和税务金三社保费征管系统的缴费信息，以入库流水和电子税票号码维度建立收入日报表、税票的关系，比对上述过程中在两两之间电子税票号码数量、金额是否存在差异。</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（4）管理子系统与征收子系统对账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对金三社保费管理子系统从征收子系统取回的上解、入库数据的过程前后数据进行比对。以金三社保费征收子系统完税凭证、缴款书、应缴税费等数据为基准，按照税票号码的维度，与金三社保费管理子系统从征收子系统取回的上解、入库数据进行比对。</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（5）管理子系统与缴费反馈信息对账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对金三社保费管理子系统按照从征收子系统取回数据后组织生成传递给医保缴费数据的过程前后数据进行比对。以金三社保费管理子系统取回的上解、入库数据与组织传递医保部门的缴费数据进行比对。</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（6）税务缴费反馈信息与医保到账反馈信息对账</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从税务传出应该（或可以）记账的缴费数据，到医保记账结束的过程前后数据进行比对。以金三社保费管理子系统生成、传输给医保的缴费信息数据，与医保返回的社保费到账处理结果数据进行比对。</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（7）征收子系统与国库对账结果上链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①征收子系统与国库对账结果进行实时上链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征收子系统与国库对账结果在业务对账模块组织生成后，根据税务区块链基础平台应用接口规范及密码设备接口开发规范实现实时上链。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②上链失败的征收子系统与国库对账结果重新上链（定时任务）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定时任务查找上链失败的征收子系统与国库对账结果，并根据接口规范（同上）重新上链。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（8）管理子系统与征收子系统对账结果上链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（9）管理子系统与缴费反馈对账结果上链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①管理子系统与征收子系统对账结果进行实时上链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管理子系统与征收子系统对账结果在业务对账模块组织生成后，根据税务区块链基础平台应用接口规范及密码设备接口开发规范实现实时上链。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②上链失败的管理子系统与征收子系统对账结果重新上链（定时任务）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定时任务查找上链失败的管理子系统与征收子系统对账结果，并根据接口规范（同上）重新上链。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③管理子系统与缴费反馈对账结果进行实时上链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管理子系统与缴费反馈对账结果在业务对账模块组织生成后，根据税务区块链基础平台应用接口规范及密码设备接口开发规范实现实时上链。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④上链失败的管理子系统与缴费反馈对账结果重新上链（定时任务）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定时任务查找上链失败的管理子系统与缴费反馈对账结果，并根据接口规范（同上）重新上链。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（10）税务缴费反馈信息与医保到账反馈结果上链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①税务缴费反馈信息与医保到账反馈结果进行实时上链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税务缴费反馈信息与医保到账反馈结果在业务对账模块组织生成后，根据税务区块链基础平台应用接口规范及密码设备接口开发规范实现实时上链。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②上链失败的税务缴费反馈信息与医保到账反馈结果重新上链（定时任务）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定时任务查找上链失败的税务缴费反馈信息与医保到账反馈结果，并根据接口规范（同上）重新上链。</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4.医保业务对账处理场景功能</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（1）对账差异原因分析及建议</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对账完成后，对通过社保费业务的业务规则、系统运行规则、信息交互规则、数据质量规则等规则进行分析，根据不同场景，提供对账差异原因初步分析及建议处理方案说明。</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（2）对账差异自动处理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对账完成后，对所发现的差异化符合自动化处理规则（根据业务场景）的差异化数据，提供触发自动处理机制消除，修正问题数据，如：缴费反馈数据重新生成触发等。</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（3）对账差异运维处理推送</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对账监控完成后，对于不符合自动化处理规则且可以运维处理的差异化数据，支持生成对账差异待办推送给运维进行人工处理。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（4）对账差异人工核对推送</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对账监控完成后，对于不符合自动化处理规则且需要人工核对的差异化数据，生成对账差异待办推送给基层进行人工核对处理。</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（5）医保部门对账数据实时查询</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通过政务外联网（需开通相关网络策略），提供对账数据实时查询功能，医保部门可以通过访问税务侧对账应用实时获取对账结果与明细信息，更有力支撑医保部门的资金对账业务。</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以上功能实现，需同步完成相应的源代码审计和安全功能测评。</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（三）采购包3“社保费征收子系统上下链</w:t>
      </w:r>
      <w:r>
        <w:rPr>
          <w:rFonts w:hint="eastAsia" w:ascii="宋体" w:hAnsi="宋体" w:cs="宋体"/>
          <w:b/>
          <w:bCs/>
          <w:szCs w:val="21"/>
          <w:lang w:val="en-US" w:eastAsia="zh-CN"/>
        </w:rPr>
        <w:t>服务</w:t>
      </w:r>
      <w:r>
        <w:rPr>
          <w:rFonts w:hint="eastAsia" w:ascii="宋体" w:hAnsi="宋体" w:cs="宋体"/>
          <w:b/>
          <w:bCs/>
          <w:szCs w:val="21"/>
        </w:rPr>
        <w:t>”项目技术需求</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涉及对用人单位、灵活就业人员、城乡居民，涉及医保险种的已入库费款进行退费处理，并将已退费数据实时传递给人社医保相关系统，并接收人社医保退费核验销号信息等。</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1.退费申请信息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（1）退费申请信息进行实时上链</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退费申请信息在社保费（标准版）征收子系统终审后，根据税务区块链基础平台应用接口规范及密码设备接口开发规范实现实时上链。</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（2）上链失败的退费信息重新上链（定时任务）</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定时任务查找上链失败的退费信息，并根据接口规范（同上）重新上链。</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①退费核验信息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1）实时订阅退费核验信息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医保方退费核验信息上链后，实时订阅退费核验信息。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2）保存订阅到的退费核验信息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根据实时订阅到退费核验信息，按照接口规范接口进行解密保存。</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②退费销号信息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1）实时订阅退费销号信息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医保方退费销号信息上链后，实时订阅退费销号信息。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2）保存订阅到的退费销号信息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根据实时订阅到退费销号信息，按照接口规范接口进行解密保存。</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③账户更正信息</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1）缴费人更正后的账户信息实时上链</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根据医保方退费核验信息返回账号有误信息后，系统里重新发起的缴费人更正账号信息，并根据接口规范（同上）再重新上链后。</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2）上链失败的账户更正信息重新上链（定时任务）</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定时任务查找账户更正上链失败的退费信息，并根据接口规范（同上）重新上链。</w:t>
      </w:r>
    </w:p>
    <w:p>
      <w:pPr>
        <w:pStyle w:val="17"/>
        <w:spacing w:after="0" w:line="400" w:lineRule="exact"/>
        <w:ind w:firstLine="420" w:firstLineChars="200"/>
        <w:rPr>
          <w:rFonts w:hint="eastAsia" w:ascii="宋体" w:hAnsi="宋体" w:cs="宋体"/>
          <w:szCs w:val="21"/>
        </w:rPr>
      </w:pPr>
      <w:r>
        <w:rPr>
          <w:rFonts w:hint="eastAsia" w:ascii="宋体" w:hAnsi="宋体" w:cs="宋体"/>
          <w:szCs w:val="21"/>
        </w:rPr>
        <w:t>以上功能实现，需同步完成相应的源代码审计和安全功能测评。</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（四）采购包4“闽费通非税相关功能改造及上下链</w:t>
      </w:r>
      <w:r>
        <w:rPr>
          <w:rFonts w:hint="eastAsia" w:ascii="宋体" w:hAnsi="宋体" w:cs="宋体"/>
          <w:b/>
          <w:bCs/>
          <w:szCs w:val="21"/>
          <w:lang w:val="en-US" w:eastAsia="zh-CN"/>
        </w:rPr>
        <w:t>服务</w:t>
      </w:r>
      <w:r>
        <w:rPr>
          <w:rFonts w:hint="eastAsia" w:ascii="宋体" w:hAnsi="宋体" w:cs="宋体"/>
          <w:b/>
          <w:bCs/>
          <w:szCs w:val="21"/>
        </w:rPr>
        <w:t>”项目技术需求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 xml:space="preserve">税务部门通过福建省电子税务局纳税人端的闽费通平台相关功能个性化改造和联调，连接税务区块链，在税务部门、林业部门、自然资源部门部署区块链基础设施，非税收入征缴由“手工采集+多次录入”模式转变为“系统对接+数据驱动”模式,实现税务部门与林业部门对接森林植被恢复费、与自然资源部门对接矿产资源专项收入和海域使用金。  </w:t>
      </w:r>
    </w:p>
    <w:p>
      <w:pPr>
        <w:snapToGrid w:val="0"/>
        <w:spacing w:line="400" w:lineRule="exact"/>
        <w:ind w:firstLine="420" w:firstLineChars="200"/>
        <w:rPr>
          <w:rFonts w:hint="eastAsia" w:ascii="宋体" w:hAnsi="宋体" w:cs="宋体"/>
          <w:szCs w:val="21"/>
        </w:rPr>
      </w:pPr>
      <w:r>
        <w:rPr>
          <w:rFonts w:hint="eastAsia" w:ascii="宋体" w:hAnsi="宋体" w:cs="宋体"/>
          <w:szCs w:val="21"/>
        </w:rPr>
        <w:t>我省“税务区块链+3项非税收入征缴”实现的主要业务场景包括：缴费人基础信息、费源信息、申报缴费信息、退费信息以及票据开具信息（不含非结构化文件）等税费数据的共享上下链。</w:t>
      </w:r>
    </w:p>
    <w:p>
      <w:pPr>
        <w:snapToGrid w:val="0"/>
        <w:spacing w:line="400" w:lineRule="exact"/>
        <w:ind w:firstLine="420" w:firstLineChars="200"/>
        <w:rPr>
          <w:rFonts w:hint="eastAsia" w:ascii="宋体" w:hAnsi="宋体" w:cs="宋体"/>
          <w:szCs w:val="21"/>
        </w:rPr>
      </w:pPr>
      <w:r>
        <w:rPr>
          <w:rFonts w:hint="eastAsia" w:ascii="宋体" w:hAnsi="宋体" w:cs="宋体"/>
          <w:szCs w:val="21"/>
        </w:rPr>
        <w:t>1.“区块链+森林植被恢复费征缴”场景</w:t>
      </w:r>
    </w:p>
    <w:p>
      <w:pPr>
        <w:snapToGrid w:val="0"/>
        <w:spacing w:line="400" w:lineRule="exact"/>
        <w:ind w:firstLine="420" w:firstLineChars="200"/>
        <w:rPr>
          <w:rFonts w:hint="eastAsia" w:ascii="宋体" w:hAnsi="宋体" w:cs="宋体"/>
          <w:szCs w:val="21"/>
        </w:rPr>
      </w:pPr>
      <w:r>
        <w:rPr>
          <w:rFonts w:hint="eastAsia" w:ascii="宋体" w:hAnsi="宋体" w:cs="宋体"/>
          <w:szCs w:val="21"/>
        </w:rPr>
        <w:t>按照《财政部关于将森林植被恢复费、草原植被恢复费划转税务部门征收的通知》（财税〔2022〕50号）精神，开展税务部门和林业部门的双向数据交互。林业部门将费源采集数据、缴费人信息等传输至税务部门；税务部门将缴费人申报、缴款信息等传输到林业部门。</w:t>
      </w:r>
    </w:p>
    <w:p>
      <w:pPr>
        <w:snapToGrid w:val="0"/>
        <w:spacing w:line="400" w:lineRule="exact"/>
        <w:ind w:firstLine="420" w:firstLineChars="200"/>
        <w:rPr>
          <w:rFonts w:hint="eastAsia" w:ascii="宋体" w:hAnsi="宋体" w:cs="宋体"/>
          <w:szCs w:val="21"/>
        </w:rPr>
      </w:pPr>
      <w:r>
        <w:rPr>
          <w:rFonts w:hint="eastAsia" w:ascii="宋体" w:hAnsi="宋体" w:cs="宋体"/>
          <w:szCs w:val="21"/>
        </w:rPr>
        <w:t>税务部门和林业部门“区块链+森林植被恢复费征缴”场景上下链应实现接口改造及交互情况如下：</w:t>
      </w:r>
    </w:p>
    <w:tbl>
      <w:tblPr>
        <w:tblStyle w:val="24"/>
        <w:tblW w:w="8018"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0"/>
        <w:gridCol w:w="1110"/>
        <w:gridCol w:w="3163"/>
        <w:gridCol w:w="3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0" w:type="dxa"/>
            <w:tcBorders>
              <w:bottom w:val="single" w:color="000000" w:sz="4" w:space="0"/>
              <w:right w:val="single" w:color="000000" w:sz="4" w:space="0"/>
            </w:tcBorders>
            <w:vAlign w:val="center"/>
          </w:tcPr>
          <w:p>
            <w:pPr>
              <w:spacing w:line="400" w:lineRule="exact"/>
              <w:textAlignment w:val="center"/>
              <w:rPr>
                <w:rFonts w:hint="eastAsia" w:ascii="宋体" w:hAnsi="宋体" w:cs="宋体"/>
                <w:szCs w:val="21"/>
              </w:rPr>
            </w:pPr>
            <w:r>
              <w:rPr>
                <w:rFonts w:hint="eastAsia" w:ascii="宋体" w:hAnsi="宋体" w:cs="宋体"/>
                <w:b/>
                <w:szCs w:val="21"/>
              </w:rPr>
              <w:t>序号</w:t>
            </w:r>
          </w:p>
        </w:tc>
        <w:tc>
          <w:tcPr>
            <w:tcW w:w="1110" w:type="dxa"/>
            <w:tcBorders>
              <w:left w:val="single" w:color="000000" w:sz="4" w:space="0"/>
              <w:bottom w:val="single" w:color="000000" w:sz="4" w:space="0"/>
              <w:right w:val="single" w:color="000000" w:sz="4" w:space="0"/>
            </w:tcBorders>
            <w:vAlign w:val="center"/>
          </w:tcPr>
          <w:p>
            <w:pPr>
              <w:spacing w:line="400" w:lineRule="exact"/>
              <w:textAlignment w:val="center"/>
              <w:rPr>
                <w:rFonts w:hint="eastAsia" w:ascii="宋体" w:hAnsi="宋体" w:cs="宋体"/>
                <w:b/>
                <w:szCs w:val="21"/>
              </w:rPr>
            </w:pPr>
            <w:r>
              <w:rPr>
                <w:rFonts w:hint="eastAsia" w:ascii="宋体" w:hAnsi="宋体" w:cs="宋体"/>
                <w:b/>
                <w:szCs w:val="21"/>
              </w:rPr>
              <w:t>业务场景</w:t>
            </w:r>
          </w:p>
        </w:tc>
        <w:tc>
          <w:tcPr>
            <w:tcW w:w="3163" w:type="dxa"/>
            <w:tcBorders>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林业部门交互事件</w:t>
            </w:r>
          </w:p>
        </w:tc>
        <w:tc>
          <w:tcPr>
            <w:tcW w:w="3195" w:type="dxa"/>
            <w:tcBorders>
              <w:left w:val="single" w:color="000000" w:sz="4" w:space="0"/>
              <w:bottom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税务部门交互事件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center"/>
              <w:rPr>
                <w:rFonts w:hint="eastAsia" w:ascii="宋体" w:hAnsi="宋体" w:cs="宋体"/>
                <w:szCs w:val="21"/>
              </w:rPr>
            </w:pPr>
            <w:r>
              <w:rPr>
                <w:rFonts w:hint="eastAsia" w:ascii="宋体" w:hAnsi="宋体" w:cs="宋体"/>
                <w:szCs w:val="21"/>
              </w:rPr>
              <w:t>项目基础信息</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①上链林业主管部门对应缴费人基础信息</w:t>
            </w:r>
          </w:p>
        </w:tc>
        <w:tc>
          <w:tcPr>
            <w:tcW w:w="3195" w:type="dxa"/>
            <w:tcBorders>
              <w:top w:val="single" w:color="000000" w:sz="4" w:space="0"/>
              <w:left w:val="single" w:color="000000" w:sz="4" w:space="0"/>
              <w:bottom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②订阅下载林业主管部门对应缴费人基础信息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2</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center"/>
              <w:rPr>
                <w:rFonts w:hint="eastAsia" w:ascii="宋体" w:hAnsi="宋体" w:cs="宋体"/>
                <w:szCs w:val="21"/>
              </w:rPr>
            </w:pPr>
          </w:p>
        </w:tc>
        <w:tc>
          <w:tcPr>
            <w:tcW w:w="31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④订阅下载缴费人基础信息校验反馈</w:t>
            </w:r>
          </w:p>
        </w:tc>
        <w:tc>
          <w:tcPr>
            <w:tcW w:w="3195" w:type="dxa"/>
            <w:tcBorders>
              <w:top w:val="single" w:color="000000" w:sz="4" w:space="0"/>
              <w:left w:val="single" w:color="000000" w:sz="4" w:space="0"/>
              <w:bottom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③上链缴费人基础信息校验反馈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3</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费源信息</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①上链植被恢复费费源信息</w:t>
            </w:r>
          </w:p>
        </w:tc>
        <w:tc>
          <w:tcPr>
            <w:tcW w:w="3195" w:type="dxa"/>
            <w:tcBorders>
              <w:top w:val="single" w:color="000000" w:sz="4" w:space="0"/>
              <w:left w:val="single" w:color="000000" w:sz="4" w:space="0"/>
              <w:bottom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②订阅下载植被恢复费费源信息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center"/>
              <w:rPr>
                <w:rFonts w:hint="eastAsia" w:ascii="宋体" w:hAnsi="宋体" w:cs="宋体"/>
                <w:szCs w:val="21"/>
              </w:rPr>
            </w:pPr>
            <w:r>
              <w:rPr>
                <w:rFonts w:hint="eastAsia" w:ascii="宋体" w:hAnsi="宋体" w:cs="宋体"/>
                <w:szCs w:val="21"/>
              </w:rPr>
              <w:t>费源异议</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②订阅下载缴费人异议信息</w:t>
            </w:r>
          </w:p>
        </w:tc>
        <w:tc>
          <w:tcPr>
            <w:tcW w:w="3195" w:type="dxa"/>
            <w:tcBorders>
              <w:top w:val="single" w:color="000000" w:sz="4" w:space="0"/>
              <w:left w:val="single" w:color="000000" w:sz="4" w:space="0"/>
              <w:bottom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①上链缴费人异议信息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5</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center"/>
              <w:rPr>
                <w:rFonts w:hint="eastAsia" w:ascii="宋体" w:hAnsi="宋体" w:cs="宋体"/>
                <w:szCs w:val="21"/>
              </w:rPr>
            </w:pPr>
            <w:r>
              <w:rPr>
                <w:rFonts w:hint="eastAsia" w:ascii="宋体" w:hAnsi="宋体" w:cs="宋体"/>
                <w:szCs w:val="21"/>
              </w:rPr>
              <w:t>费源信息申报缴款</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②订阅下载缴费信息</w:t>
            </w:r>
          </w:p>
        </w:tc>
        <w:tc>
          <w:tcPr>
            <w:tcW w:w="3195" w:type="dxa"/>
            <w:tcBorders>
              <w:top w:val="single" w:color="000000" w:sz="4" w:space="0"/>
              <w:left w:val="single" w:color="000000" w:sz="4" w:space="0"/>
              <w:bottom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①缴费信息上链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6</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center"/>
              <w:rPr>
                <w:rFonts w:hint="eastAsia" w:ascii="宋体" w:hAnsi="宋体" w:cs="宋体"/>
                <w:szCs w:val="21"/>
              </w:rPr>
            </w:pPr>
          </w:p>
        </w:tc>
        <w:tc>
          <w:tcPr>
            <w:tcW w:w="31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①申报信息查询请求上链</w:t>
            </w:r>
          </w:p>
        </w:tc>
        <w:tc>
          <w:tcPr>
            <w:tcW w:w="3195" w:type="dxa"/>
            <w:tcBorders>
              <w:top w:val="single" w:color="000000" w:sz="4" w:space="0"/>
              <w:left w:val="single" w:color="000000" w:sz="4" w:space="0"/>
              <w:bottom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②订阅下载申报信息查询请求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7</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center"/>
              <w:rPr>
                <w:rFonts w:hint="eastAsia" w:ascii="宋体" w:hAnsi="宋体" w:cs="宋体"/>
                <w:szCs w:val="21"/>
              </w:rPr>
            </w:pPr>
          </w:p>
        </w:tc>
        <w:tc>
          <w:tcPr>
            <w:tcW w:w="316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④订阅下载申报信息查询响应</w:t>
            </w:r>
          </w:p>
        </w:tc>
        <w:tc>
          <w:tcPr>
            <w:tcW w:w="3195" w:type="dxa"/>
            <w:tcBorders>
              <w:top w:val="single" w:color="000000" w:sz="4" w:space="0"/>
              <w:left w:val="single" w:color="000000" w:sz="4" w:space="0"/>
              <w:bottom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③申报信息查询响应上链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8</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textAlignment w:val="center"/>
              <w:rPr>
                <w:rFonts w:hint="eastAsia" w:ascii="宋体" w:hAnsi="宋体" w:cs="宋体"/>
                <w:szCs w:val="21"/>
              </w:rPr>
            </w:pPr>
            <w:r>
              <w:rPr>
                <w:rFonts w:hint="eastAsia" w:ascii="宋体" w:hAnsi="宋体" w:cs="宋体"/>
                <w:szCs w:val="21"/>
              </w:rPr>
              <w:t>票据查验</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①费源票据查验信息上链</w:t>
            </w:r>
          </w:p>
        </w:tc>
        <w:tc>
          <w:tcPr>
            <w:tcW w:w="3195" w:type="dxa"/>
            <w:tcBorders>
              <w:top w:val="single" w:color="000000" w:sz="4" w:space="0"/>
              <w:left w:val="single" w:color="000000" w:sz="4" w:space="0"/>
              <w:bottom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②订阅下载费源票据查验信息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420" w:firstLineChars="200"/>
              <w:jc w:val="center"/>
              <w:rPr>
                <w:rFonts w:hint="eastAsia" w:ascii="宋体" w:hAnsi="宋体" w:cs="宋体"/>
                <w:szCs w:val="21"/>
              </w:rPr>
            </w:pPr>
          </w:p>
        </w:tc>
        <w:tc>
          <w:tcPr>
            <w:tcW w:w="316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④订阅下载中央非税收入统一票据信息</w:t>
            </w:r>
          </w:p>
        </w:tc>
        <w:tc>
          <w:tcPr>
            <w:tcW w:w="3195" w:type="dxa"/>
            <w:tcBorders>
              <w:top w:val="single" w:color="000000" w:sz="4" w:space="0"/>
              <w:left w:val="single" w:color="000000" w:sz="4" w:space="0"/>
              <w:bottom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③中央非税收入统一票据信息上链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10</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textAlignment w:val="center"/>
              <w:rPr>
                <w:rFonts w:hint="eastAsia" w:ascii="宋体" w:hAnsi="宋体" w:cs="宋体"/>
                <w:szCs w:val="21"/>
              </w:rPr>
            </w:pPr>
            <w:r>
              <w:rPr>
                <w:rFonts w:hint="eastAsia" w:ascii="宋体" w:hAnsi="宋体" w:cs="宋体"/>
                <w:szCs w:val="21"/>
              </w:rPr>
              <w:t>退费业务</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②误收退费业务办理结果下链</w:t>
            </w:r>
          </w:p>
        </w:tc>
        <w:tc>
          <w:tcPr>
            <w:tcW w:w="3195" w:type="dxa"/>
            <w:tcBorders>
              <w:top w:val="single" w:color="000000" w:sz="4" w:space="0"/>
              <w:left w:val="single" w:color="000000" w:sz="4" w:space="0"/>
              <w:bottom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①误收退费业务办理结果上链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420" w:firstLineChars="200"/>
              <w:jc w:val="center"/>
              <w:rPr>
                <w:rFonts w:hint="eastAsia" w:ascii="宋体" w:hAnsi="宋体" w:cs="宋体"/>
                <w:szCs w:val="21"/>
              </w:rPr>
            </w:pPr>
          </w:p>
        </w:tc>
        <w:tc>
          <w:tcPr>
            <w:tcW w:w="316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①其它退费业务办理申请上链</w:t>
            </w:r>
          </w:p>
        </w:tc>
        <w:tc>
          <w:tcPr>
            <w:tcW w:w="3195" w:type="dxa"/>
            <w:tcBorders>
              <w:top w:val="single" w:color="000000" w:sz="4" w:space="0"/>
              <w:left w:val="single" w:color="000000" w:sz="4" w:space="0"/>
              <w:bottom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②订阅下载其它业务退费办理申请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0" w:type="dxa"/>
            <w:tcBorders>
              <w:top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12</w:t>
            </w:r>
          </w:p>
        </w:tc>
        <w:tc>
          <w:tcPr>
            <w:tcW w:w="1110" w:type="dxa"/>
            <w:vMerge w:val="continue"/>
            <w:tcBorders>
              <w:top w:val="single" w:color="000000" w:sz="4" w:space="0"/>
              <w:left w:val="single" w:color="000000" w:sz="4" w:space="0"/>
              <w:right w:val="single" w:color="000000" w:sz="4" w:space="0"/>
            </w:tcBorders>
            <w:noWrap/>
            <w:vAlign w:val="center"/>
          </w:tcPr>
          <w:p>
            <w:pPr>
              <w:spacing w:line="400" w:lineRule="exact"/>
              <w:ind w:firstLine="420" w:firstLineChars="200"/>
              <w:jc w:val="center"/>
              <w:rPr>
                <w:rFonts w:hint="eastAsia" w:ascii="宋体" w:hAnsi="宋体" w:cs="宋体"/>
                <w:szCs w:val="21"/>
              </w:rPr>
            </w:pPr>
          </w:p>
        </w:tc>
        <w:tc>
          <w:tcPr>
            <w:tcW w:w="3163" w:type="dxa"/>
            <w:tcBorders>
              <w:top w:val="single" w:color="000000" w:sz="4" w:space="0"/>
              <w:left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④订阅下载其它退费业务办理结果</w:t>
            </w:r>
          </w:p>
        </w:tc>
        <w:tc>
          <w:tcPr>
            <w:tcW w:w="3195" w:type="dxa"/>
            <w:tcBorders>
              <w:top w:val="single" w:color="000000" w:sz="4" w:space="0"/>
              <w:lef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③其它类型退费业务办理结果上链</w:t>
            </w:r>
          </w:p>
        </w:tc>
      </w:tr>
    </w:tbl>
    <w:p>
      <w:pPr>
        <w:snapToGrid w:val="0"/>
        <w:spacing w:line="400" w:lineRule="exact"/>
        <w:ind w:firstLine="420" w:firstLineChars="200"/>
        <w:rPr>
          <w:rFonts w:hint="eastAsia" w:ascii="宋体" w:hAnsi="宋体" w:cs="宋体"/>
          <w:szCs w:val="21"/>
        </w:rPr>
      </w:pPr>
      <w:r>
        <w:rPr>
          <w:rFonts w:hint="eastAsia" w:ascii="宋体" w:hAnsi="宋体" w:cs="宋体"/>
          <w:szCs w:val="21"/>
        </w:rPr>
        <w:t>2.“区块链+矿产资源专项收入征缴”场景</w:t>
      </w:r>
    </w:p>
    <w:p>
      <w:pPr>
        <w:snapToGrid w:val="0"/>
        <w:spacing w:line="400" w:lineRule="exact"/>
        <w:ind w:firstLine="420" w:firstLineChars="200"/>
        <w:rPr>
          <w:rFonts w:hint="eastAsia" w:ascii="宋体" w:hAnsi="宋体" w:cs="宋体"/>
          <w:szCs w:val="21"/>
        </w:rPr>
      </w:pPr>
      <w:r>
        <w:rPr>
          <w:rFonts w:hint="eastAsia" w:ascii="宋体" w:hAnsi="宋体" w:cs="宋体"/>
          <w:szCs w:val="21"/>
        </w:rPr>
        <w:t>根据《财政部 自然资源部 国家税务总局 人民银行关于将国有土地使用权出让收入、矿产资源专项收入、海域使用金、无居民海岛使用金四项政府非税收入划转税务部门征收有关问题的通知》（财综〔2021〕19号）精神，开展税务部门和自然资源部门的双向数据交互。自然资源部门将费源采集数据、缴费人信息等传输至税务部门；税务部门将缴费人申报、缴款信息等传输到自然资源部门。</w:t>
      </w:r>
    </w:p>
    <w:p>
      <w:pPr>
        <w:snapToGrid w:val="0"/>
        <w:spacing w:line="400" w:lineRule="exact"/>
        <w:ind w:firstLine="420" w:firstLineChars="200"/>
        <w:rPr>
          <w:rFonts w:hint="eastAsia" w:ascii="宋体" w:hAnsi="宋体" w:cs="宋体"/>
          <w:szCs w:val="21"/>
        </w:rPr>
      </w:pPr>
      <w:r>
        <w:rPr>
          <w:rFonts w:hint="eastAsia" w:ascii="宋体" w:hAnsi="宋体" w:cs="宋体"/>
          <w:szCs w:val="21"/>
        </w:rPr>
        <w:t>税务部门和自然资源部门“区块链+矿产资源专项收入征缴”场景上下链应实现接口改造及交互情况如下：</w:t>
      </w:r>
    </w:p>
    <w:p>
      <w:pPr>
        <w:snapToGrid w:val="0"/>
        <w:spacing w:line="400" w:lineRule="exact"/>
        <w:ind w:firstLine="420" w:firstLineChars="200"/>
        <w:rPr>
          <w:rFonts w:hint="eastAsia" w:ascii="宋体" w:hAnsi="宋体" w:cs="宋体"/>
          <w:szCs w:val="21"/>
        </w:rPr>
      </w:pPr>
    </w:p>
    <w:tbl>
      <w:tblPr>
        <w:tblStyle w:val="24"/>
        <w:tblW w:w="7958" w:type="dxa"/>
        <w:tblInd w:w="93" w:type="dxa"/>
        <w:tblLayout w:type="fixed"/>
        <w:tblCellMar>
          <w:top w:w="0" w:type="dxa"/>
          <w:left w:w="108" w:type="dxa"/>
          <w:bottom w:w="0" w:type="dxa"/>
          <w:right w:w="108" w:type="dxa"/>
        </w:tblCellMar>
      </w:tblPr>
      <w:tblGrid>
        <w:gridCol w:w="547"/>
        <w:gridCol w:w="1110"/>
        <w:gridCol w:w="3271"/>
        <w:gridCol w:w="3030"/>
      </w:tblGrid>
      <w:tr>
        <w:tblPrEx>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业务场景</w:t>
            </w: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自然资源部门交互事件</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税务部门交互事件</w:t>
            </w:r>
          </w:p>
        </w:tc>
      </w:tr>
      <w:tr>
        <w:tblPrEx>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项目基础信息</w:t>
            </w: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①上链矿业主管部门对应缴费人基础信息</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②订阅下载矿业主管部门对应缴费人基础信息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2</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Cs w:val="21"/>
              </w:rPr>
            </w:pP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④订阅下载缴费人基础信息校验反馈</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③上链缴费人基础信息校验反馈</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3</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费源信息</w:t>
            </w: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①上链矿业专项收入费源信息</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②订阅下载矿业专项收入费源信息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费源异议</w:t>
            </w: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②订阅下载缴费人异议信息</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①上链缴费人异议信息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5</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费源信息申报缴款</w:t>
            </w: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②订阅下载缴费信息</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①缴费信息上链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6</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Cs w:val="21"/>
              </w:rPr>
            </w:pPr>
          </w:p>
        </w:tc>
        <w:tc>
          <w:tcPr>
            <w:tcW w:w="32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①申报信息查询请求上链</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②订阅下载申报信息查询请求</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7</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Cs w:val="21"/>
              </w:rPr>
            </w:pPr>
          </w:p>
        </w:tc>
        <w:tc>
          <w:tcPr>
            <w:tcW w:w="327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④订阅下载申报信息查询响应</w:t>
            </w:r>
          </w:p>
        </w:tc>
        <w:tc>
          <w:tcPr>
            <w:tcW w:w="303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③申报信息查询响应上链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8</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票据查验</w:t>
            </w:r>
          </w:p>
        </w:tc>
        <w:tc>
          <w:tcPr>
            <w:tcW w:w="327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①费源票据查验信息上链</w:t>
            </w:r>
          </w:p>
        </w:tc>
        <w:tc>
          <w:tcPr>
            <w:tcW w:w="303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②订阅下载费源票据查验信息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cs="宋体"/>
                <w:szCs w:val="21"/>
              </w:rPr>
            </w:pPr>
          </w:p>
        </w:tc>
        <w:tc>
          <w:tcPr>
            <w:tcW w:w="327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④订阅下载中央非税收入统一票据信息</w:t>
            </w:r>
          </w:p>
        </w:tc>
        <w:tc>
          <w:tcPr>
            <w:tcW w:w="303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③中央非税收入统一票据信息上链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10</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退费业务</w:t>
            </w:r>
          </w:p>
        </w:tc>
        <w:tc>
          <w:tcPr>
            <w:tcW w:w="327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②误收退费业务办理结果下链</w:t>
            </w:r>
          </w:p>
        </w:tc>
        <w:tc>
          <w:tcPr>
            <w:tcW w:w="303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①误收退费业务办理结果上链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11</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cs="宋体"/>
                <w:szCs w:val="21"/>
              </w:rPr>
            </w:pPr>
          </w:p>
        </w:tc>
        <w:tc>
          <w:tcPr>
            <w:tcW w:w="327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④订阅下载退费业务办理结果</w:t>
            </w:r>
          </w:p>
        </w:tc>
        <w:tc>
          <w:tcPr>
            <w:tcW w:w="303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③退费业务办理结果上链</w:t>
            </w:r>
          </w:p>
        </w:tc>
      </w:tr>
    </w:tbl>
    <w:p>
      <w:pPr>
        <w:snapToGrid w:val="0"/>
        <w:spacing w:line="400" w:lineRule="exact"/>
        <w:ind w:firstLine="420" w:firstLineChars="200"/>
        <w:rPr>
          <w:rFonts w:hint="eastAsia" w:ascii="宋体" w:hAnsi="宋体" w:cs="宋体"/>
          <w:szCs w:val="21"/>
        </w:rPr>
      </w:pPr>
      <w:r>
        <w:rPr>
          <w:rFonts w:hint="eastAsia" w:ascii="宋体" w:hAnsi="宋体" w:cs="宋体"/>
          <w:szCs w:val="21"/>
        </w:rPr>
        <w:t>3.“区块链+海域使用金征缴”场景</w:t>
      </w:r>
    </w:p>
    <w:p>
      <w:pPr>
        <w:snapToGrid w:val="0"/>
        <w:spacing w:line="400" w:lineRule="exact"/>
        <w:ind w:firstLine="420" w:firstLineChars="200"/>
        <w:rPr>
          <w:rFonts w:hint="eastAsia" w:ascii="宋体" w:hAnsi="宋体" w:cs="宋体"/>
          <w:szCs w:val="21"/>
        </w:rPr>
      </w:pPr>
      <w:r>
        <w:rPr>
          <w:rFonts w:hint="eastAsia" w:ascii="宋体" w:hAnsi="宋体" w:cs="宋体"/>
          <w:szCs w:val="21"/>
        </w:rPr>
        <w:t>根据《财政部 自然资源部 国家税务总局 人民银行关于将国有土地使用权出让收入、矿产资源专项收入、海域使用金、无居民海岛使用金四项政府非税收入划转税务部门征收有关问题的通知》（财综〔2021〕19号）精神，开展税务税务部门和自然资源部门的双向数据交互。自然资源部门将费源采集数据、缴费人信息等传输至税务部门；税务部门将缴费人申报、缴款信息等传输到自然资源部门。</w:t>
      </w:r>
    </w:p>
    <w:p>
      <w:pPr>
        <w:snapToGrid w:val="0"/>
        <w:spacing w:line="400" w:lineRule="exact"/>
        <w:ind w:firstLine="420" w:firstLineChars="200"/>
        <w:rPr>
          <w:rFonts w:hint="eastAsia" w:ascii="宋体" w:hAnsi="宋体" w:cs="宋体"/>
          <w:szCs w:val="21"/>
        </w:rPr>
      </w:pPr>
      <w:r>
        <w:rPr>
          <w:rFonts w:hint="eastAsia" w:ascii="宋体" w:hAnsi="宋体" w:cs="宋体"/>
          <w:szCs w:val="21"/>
        </w:rPr>
        <w:t>税务部门和自然资源部门“区块链+海域使用金征缴”场景上下链应实现接口改造及交互情况如下：</w:t>
      </w:r>
    </w:p>
    <w:tbl>
      <w:tblPr>
        <w:tblStyle w:val="24"/>
        <w:tblW w:w="8151" w:type="dxa"/>
        <w:tblInd w:w="93" w:type="dxa"/>
        <w:tblLayout w:type="fixed"/>
        <w:tblCellMar>
          <w:top w:w="0" w:type="dxa"/>
          <w:left w:w="108" w:type="dxa"/>
          <w:bottom w:w="0" w:type="dxa"/>
          <w:right w:w="108" w:type="dxa"/>
        </w:tblCellMar>
      </w:tblPr>
      <w:tblGrid>
        <w:gridCol w:w="547"/>
        <w:gridCol w:w="1110"/>
        <w:gridCol w:w="3481"/>
        <w:gridCol w:w="3013"/>
      </w:tblGrid>
      <w:tr>
        <w:tblPrEx>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业务场景</w:t>
            </w: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自然资源部门交互事件</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b/>
                <w:szCs w:val="21"/>
              </w:rPr>
            </w:pPr>
            <w:r>
              <w:rPr>
                <w:rFonts w:hint="eastAsia" w:ascii="宋体" w:hAnsi="宋体" w:cs="宋体"/>
                <w:b/>
                <w:szCs w:val="21"/>
              </w:rPr>
              <w:t>税务部门交互事件</w:t>
            </w:r>
          </w:p>
        </w:tc>
      </w:tr>
      <w:tr>
        <w:tblPrEx>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项目基础信息</w:t>
            </w: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①上链海域主管部门对应缴费人基础信息</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②订阅下载海域主管部门对应缴费人基础信息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2</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Cs w:val="21"/>
              </w:rPr>
            </w:pP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④订阅下载缴费人基础信息校验反馈</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③上链缴费人基础信息校验反馈</w:t>
            </w:r>
          </w:p>
        </w:tc>
      </w:tr>
      <w:tr>
        <w:tblPrEx>
          <w:tblCellMar>
            <w:top w:w="0" w:type="dxa"/>
            <w:left w:w="108" w:type="dxa"/>
            <w:bottom w:w="0" w:type="dxa"/>
            <w:right w:w="108" w:type="dxa"/>
          </w:tblCellMar>
        </w:tblPrEx>
        <w:trPr>
          <w:trHeight w:val="1621"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3</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费源信息申报缴款</w:t>
            </w: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①上链海域使用金费源信息</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②订阅下载海域使用金费源信息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4</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费源异议</w:t>
            </w: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②订阅下载缴费人异议信息</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①上链缴费人异议信息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5</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费源信息申报缴款</w:t>
            </w: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②订阅下载缴费信息</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①缴费信息上链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6</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Cs w:val="21"/>
              </w:rPr>
            </w:pPr>
          </w:p>
        </w:tc>
        <w:tc>
          <w:tcPr>
            <w:tcW w:w="34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①申报信息查询请求上链</w:t>
            </w:r>
          </w:p>
        </w:tc>
        <w:tc>
          <w:tcPr>
            <w:tcW w:w="30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②订阅下载申报信息查询请求</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7</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Cs w:val="21"/>
              </w:rPr>
            </w:pPr>
          </w:p>
        </w:tc>
        <w:tc>
          <w:tcPr>
            <w:tcW w:w="34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④订阅下载申报信息查询响应</w:t>
            </w:r>
          </w:p>
        </w:tc>
        <w:tc>
          <w:tcPr>
            <w:tcW w:w="301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③申报信息查询响应上链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8</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票据查验</w:t>
            </w:r>
          </w:p>
        </w:tc>
        <w:tc>
          <w:tcPr>
            <w:tcW w:w="34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①费源票据查验信息上链</w:t>
            </w:r>
          </w:p>
        </w:tc>
        <w:tc>
          <w:tcPr>
            <w:tcW w:w="301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②订阅下载费源票据查验信息</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9</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cs="宋体"/>
                <w:szCs w:val="21"/>
              </w:rPr>
            </w:pPr>
          </w:p>
        </w:tc>
        <w:tc>
          <w:tcPr>
            <w:tcW w:w="34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④订阅下载中央非税收入统一票据信息</w:t>
            </w:r>
          </w:p>
        </w:tc>
        <w:tc>
          <w:tcPr>
            <w:tcW w:w="301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③中央非税收入统一票据信息上链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10</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退费业务</w:t>
            </w:r>
          </w:p>
        </w:tc>
        <w:tc>
          <w:tcPr>
            <w:tcW w:w="34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②误收退费业务办理结果下链</w:t>
            </w:r>
          </w:p>
        </w:tc>
        <w:tc>
          <w:tcPr>
            <w:tcW w:w="301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①误收退费业务办理结果上链</w:t>
            </w:r>
          </w:p>
        </w:tc>
      </w:tr>
      <w:tr>
        <w:tblPrEx>
          <w:tblCellMar>
            <w:top w:w="0" w:type="dxa"/>
            <w:left w:w="108" w:type="dxa"/>
            <w:bottom w:w="0" w:type="dxa"/>
            <w:right w:w="108"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12</w:t>
            </w: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cs="宋体"/>
                <w:szCs w:val="21"/>
              </w:rPr>
            </w:pPr>
          </w:p>
        </w:tc>
        <w:tc>
          <w:tcPr>
            <w:tcW w:w="34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④订阅下载退费业务办理结果</w:t>
            </w:r>
          </w:p>
        </w:tc>
        <w:tc>
          <w:tcPr>
            <w:tcW w:w="301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textAlignment w:val="center"/>
              <w:rPr>
                <w:rFonts w:hint="eastAsia" w:ascii="宋体" w:hAnsi="宋体" w:cs="宋体"/>
                <w:szCs w:val="21"/>
              </w:rPr>
            </w:pPr>
            <w:r>
              <w:rPr>
                <w:rFonts w:hint="eastAsia" w:ascii="宋体" w:hAnsi="宋体" w:cs="宋体"/>
                <w:szCs w:val="21"/>
              </w:rPr>
              <w:t>③退费业务办理结果上链</w:t>
            </w:r>
          </w:p>
        </w:tc>
      </w:tr>
    </w:tbl>
    <w:p>
      <w:pPr>
        <w:snapToGrid w:val="0"/>
        <w:spacing w:line="400" w:lineRule="exact"/>
        <w:ind w:firstLine="420" w:firstLineChars="200"/>
        <w:rPr>
          <w:rFonts w:hint="eastAsia" w:ascii="宋体" w:hAnsi="宋体" w:cs="宋体"/>
          <w:szCs w:val="21"/>
        </w:rPr>
      </w:pPr>
      <w:r>
        <w:rPr>
          <w:rFonts w:hint="eastAsia" w:ascii="宋体" w:hAnsi="宋体" w:cs="宋体"/>
          <w:szCs w:val="21"/>
        </w:rPr>
        <w:t>以上功能实现，需同步完成相应的源代码审计和安全功能测评。</w:t>
      </w:r>
    </w:p>
    <w:p>
      <w:pPr>
        <w:snapToGrid w:val="0"/>
        <w:spacing w:line="400" w:lineRule="exact"/>
        <w:ind w:firstLine="420" w:firstLineChars="200"/>
        <w:outlineLvl w:val="0"/>
        <w:rPr>
          <w:rFonts w:hint="eastAsia" w:ascii="宋体" w:hAnsi="宋体" w:cs="宋体"/>
          <w:b/>
          <w:bCs/>
          <w:szCs w:val="21"/>
        </w:rPr>
      </w:pPr>
      <w:r>
        <w:rPr>
          <w:rFonts w:ascii="Times New Roman" w:hAnsi="Times New Roman"/>
          <w:szCs w:val="21"/>
        </w:rPr>
        <w:t>★</w:t>
      </w:r>
      <w:r>
        <w:rPr>
          <w:rFonts w:hint="eastAsia" w:ascii="宋体" w:hAnsi="宋体" w:cs="宋体"/>
          <w:b/>
          <w:bCs/>
          <w:szCs w:val="21"/>
        </w:rPr>
        <w:t>四、商务要求</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（一）采购包1“税务区块链基础平台部署实施和上下链接口服务”</w:t>
      </w:r>
      <w:r>
        <w:rPr>
          <w:rFonts w:ascii="宋体" w:hAnsi="宋体" w:cs="宋体"/>
          <w:b/>
          <w:bCs/>
          <w:szCs w:val="21"/>
        </w:rPr>
        <w:t>服务</w:t>
      </w:r>
      <w:r>
        <w:rPr>
          <w:rFonts w:hint="eastAsia" w:ascii="宋体" w:hAnsi="宋体" w:cs="宋体"/>
          <w:b/>
          <w:bCs/>
          <w:szCs w:val="21"/>
        </w:rPr>
        <w:t>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1.总体服务要求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（1）中标人应成立项目管理组织，严格遵守本项目业务管控、架构管控、项目管控的要求。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（2）中标人应基于成熟的项目管理方法论，制订完善的项目管理制度、流程，合理划分项目管理的阶段，借助工程管理工具，在项目实施过程中对项目进行规范化管理，确保项目实施进度和实施质量。</w:t>
      </w:r>
    </w:p>
    <w:p>
      <w:pPr>
        <w:snapToGrid w:val="0"/>
        <w:spacing w:line="400" w:lineRule="exact"/>
        <w:ind w:firstLine="420" w:firstLineChars="200"/>
        <w:rPr>
          <w:rFonts w:hint="eastAsia" w:ascii="宋体" w:hAnsi="宋体" w:cs="宋体"/>
          <w:szCs w:val="21"/>
        </w:rPr>
      </w:pPr>
      <w:r>
        <w:rPr>
          <w:rFonts w:hint="eastAsia" w:ascii="宋体" w:hAnsi="宋体" w:cs="宋体"/>
          <w:szCs w:val="21"/>
        </w:rPr>
        <w:t>（3）中标人应提供项目管理方案，至少覆盖进度管理、范围管理、风险管理、需求管理、质量管理、资源管理、沟通管理等。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（4）中标人应根据项目管理的需要，提供和使用项目管理工具。当采购人要求时，必须使用采购人提供的项目管理工具。采购人不对工具额外付费。若发生版权、知识产权或授权纠纷，后果由中标人承担。</w:t>
      </w:r>
    </w:p>
    <w:p>
      <w:pPr>
        <w:snapToGrid w:val="0"/>
        <w:spacing w:line="400" w:lineRule="exact"/>
        <w:ind w:firstLine="420" w:firstLineChars="200"/>
        <w:rPr>
          <w:rFonts w:hint="eastAsia" w:ascii="宋体" w:hAnsi="宋体" w:cs="宋体"/>
          <w:szCs w:val="21"/>
        </w:rPr>
      </w:pPr>
      <w:r>
        <w:rPr>
          <w:rFonts w:hint="eastAsia" w:ascii="宋体" w:hAnsi="宋体" w:cs="宋体"/>
          <w:szCs w:val="21"/>
        </w:rPr>
        <w:t>（5）在项目实施工程中，采购人可能根据实际情况，在不改变工作量的情况下调整应用建设要求，中标人应充分考虑、无条件满足采购人的要求，采购人对此不再额外付费。</w:t>
      </w:r>
    </w:p>
    <w:p>
      <w:pPr>
        <w:snapToGrid w:val="0"/>
        <w:spacing w:line="400" w:lineRule="exact"/>
        <w:ind w:firstLine="420" w:firstLineChars="200"/>
        <w:rPr>
          <w:rFonts w:hint="eastAsia" w:ascii="宋体" w:hAnsi="宋体" w:cs="宋体"/>
          <w:szCs w:val="21"/>
        </w:rPr>
      </w:pPr>
      <w:r>
        <w:rPr>
          <w:rFonts w:hint="eastAsia" w:ascii="宋体" w:hAnsi="宋体" w:cs="宋体"/>
          <w:szCs w:val="21"/>
        </w:rPr>
        <w:t>（6）中标人要根据采购人采购硬件情况对本项目进行规划，规划部署方案应与采购人沟通确认，以确保资源合理利用，达到较优的效果。</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2.</w:t>
      </w:r>
      <w:r>
        <w:rPr>
          <w:rFonts w:hint="eastAsia" w:ascii="宋体" w:hAnsi="宋体" w:cs="宋体"/>
          <w:szCs w:val="21"/>
          <w:lang w:val="en-GB"/>
        </w:rPr>
        <w:t>实施时间要求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中标人应按照采购人的要求，在合同签订后3个月内完成项目。</w:t>
      </w:r>
    </w:p>
    <w:p>
      <w:pPr>
        <w:snapToGrid w:val="0"/>
        <w:spacing w:line="400" w:lineRule="exact"/>
        <w:ind w:firstLine="420" w:firstLineChars="200"/>
        <w:rPr>
          <w:rFonts w:hint="eastAsia" w:ascii="宋体" w:hAnsi="宋体" w:cs="宋体"/>
          <w:szCs w:val="21"/>
        </w:rPr>
      </w:pPr>
      <w:r>
        <w:rPr>
          <w:rFonts w:hint="eastAsia" w:ascii="宋体" w:hAnsi="宋体" w:cs="宋体"/>
          <w:szCs w:val="21"/>
        </w:rPr>
        <w:t>3.服务质量保障要求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中标人在质量保障方面的主要任务和要求，包括以下内容：</w:t>
      </w:r>
    </w:p>
    <w:p>
      <w:pPr>
        <w:snapToGrid w:val="0"/>
        <w:spacing w:line="400" w:lineRule="exact"/>
        <w:ind w:firstLine="420" w:firstLineChars="200"/>
        <w:rPr>
          <w:rFonts w:hint="eastAsia" w:ascii="宋体" w:hAnsi="宋体" w:cs="宋体"/>
          <w:szCs w:val="21"/>
        </w:rPr>
      </w:pPr>
      <w:r>
        <w:rPr>
          <w:rFonts w:hint="eastAsia" w:ascii="宋体" w:hAnsi="宋体" w:cs="宋体"/>
          <w:szCs w:val="21"/>
        </w:rPr>
        <w:t>（1）中标人必须成立专门的质量保证组，明确质量保证组所要进行的质量保证活动，保证项目的实施过程符合预定的项目质量管理标准，保障项目质量管理的完整性、正确性和可追溯性。</w:t>
      </w:r>
    </w:p>
    <w:p>
      <w:pPr>
        <w:snapToGrid w:val="0"/>
        <w:spacing w:line="400" w:lineRule="exact"/>
        <w:ind w:firstLine="420" w:firstLineChars="200"/>
        <w:rPr>
          <w:rFonts w:hint="eastAsia" w:ascii="宋体" w:hAnsi="宋体" w:cs="宋体"/>
          <w:szCs w:val="21"/>
        </w:rPr>
      </w:pPr>
      <w:r>
        <w:rPr>
          <w:rFonts w:hint="eastAsia" w:ascii="宋体" w:hAnsi="宋体" w:cs="宋体"/>
          <w:szCs w:val="21"/>
        </w:rPr>
        <w:t>（2）采购人将在项目实施过程中，不定期对项目实施情况和工作质量进行评价，中标人应对工作评价中的意见和建议及时进行答复，并提出相应的改进方法和措施。</w:t>
      </w:r>
    </w:p>
    <w:p>
      <w:pPr>
        <w:snapToGrid w:val="0"/>
        <w:spacing w:line="400" w:lineRule="exact"/>
        <w:ind w:firstLine="420" w:firstLineChars="200"/>
        <w:rPr>
          <w:rFonts w:hint="eastAsia" w:ascii="宋体" w:hAnsi="宋体" w:cs="宋体"/>
          <w:szCs w:val="21"/>
        </w:rPr>
      </w:pPr>
      <w:r>
        <w:rPr>
          <w:rFonts w:hint="eastAsia" w:ascii="宋体" w:hAnsi="宋体" w:cs="宋体"/>
          <w:szCs w:val="21"/>
        </w:rPr>
        <w:t>（3）安排专人对项目的质量情况进行跟踪，并通过项目的监控、检查、纠错、贯彻等阶段，及时地纠正可能引起目标偏差的问题。</w:t>
      </w:r>
    </w:p>
    <w:p>
      <w:pPr>
        <w:snapToGrid w:val="0"/>
        <w:spacing w:line="400" w:lineRule="exact"/>
        <w:ind w:firstLine="420" w:firstLineChars="200"/>
        <w:rPr>
          <w:rFonts w:hint="eastAsia" w:ascii="宋体" w:hAnsi="宋体" w:cs="宋体"/>
          <w:szCs w:val="21"/>
        </w:rPr>
      </w:pPr>
      <w:r>
        <w:rPr>
          <w:rFonts w:hint="eastAsia" w:ascii="宋体" w:hAnsi="宋体" w:cs="宋体"/>
          <w:szCs w:val="21"/>
        </w:rPr>
        <w:t>（4）中标人必须制定专门质量保证计划，明确质量保证活动与整个开发生命周期中各个阶段的关系，并选择合适的质量保证工具。</w:t>
      </w:r>
    </w:p>
    <w:p>
      <w:pPr>
        <w:snapToGrid w:val="0"/>
        <w:spacing w:line="400" w:lineRule="exact"/>
        <w:ind w:firstLine="420" w:firstLineChars="200"/>
        <w:rPr>
          <w:rFonts w:hint="eastAsia" w:ascii="宋体" w:hAnsi="宋体" w:cs="宋体"/>
          <w:szCs w:val="21"/>
        </w:rPr>
      </w:pPr>
      <w:r>
        <w:rPr>
          <w:rFonts w:hint="eastAsia" w:ascii="宋体" w:hAnsi="宋体" w:cs="宋体"/>
          <w:szCs w:val="21"/>
        </w:rPr>
        <w:t>（5）中标人必须参考项目质量相关标准，制定本项目的质量管理标准，确保项目所有成员理解并执行该标准。</w:t>
      </w:r>
    </w:p>
    <w:p>
      <w:pPr>
        <w:snapToGrid w:val="0"/>
        <w:spacing w:line="400" w:lineRule="exact"/>
        <w:ind w:firstLine="420" w:firstLineChars="200"/>
        <w:rPr>
          <w:rFonts w:hint="eastAsia" w:ascii="宋体" w:hAnsi="宋体" w:cs="宋体"/>
          <w:szCs w:val="21"/>
        </w:rPr>
      </w:pPr>
      <w:r>
        <w:rPr>
          <w:rFonts w:hint="eastAsia" w:ascii="宋体" w:hAnsi="宋体" w:cs="宋体"/>
          <w:szCs w:val="21"/>
        </w:rPr>
        <w:t>（6）中标人必须按照《项目质量保证计划》，遵循项目质量标准，开展本项目的质量保证工作。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4.技术支持服务要求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为保障系统能够正常、稳定、可靠地运行，中标人须为采购人提供一系列技术支持服务工作。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（1）服务期限要求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本项目推广上线期为自合同签订之日起到福建税务税务区块链基础平台推广上线，技术服务期为自合同签订之日起至维保期届满。</w:t>
      </w:r>
    </w:p>
    <w:p>
      <w:pPr>
        <w:snapToGrid w:val="0"/>
        <w:spacing w:line="400" w:lineRule="exact"/>
        <w:ind w:firstLine="420" w:firstLineChars="200"/>
        <w:rPr>
          <w:rFonts w:hint="eastAsia" w:ascii="宋体" w:hAnsi="宋体" w:cs="宋体"/>
          <w:szCs w:val="21"/>
        </w:rPr>
      </w:pPr>
      <w:r>
        <w:rPr>
          <w:rFonts w:hint="eastAsia" w:ascii="宋体" w:hAnsi="宋体" w:cs="宋体"/>
          <w:szCs w:val="21"/>
        </w:rPr>
        <w:t>（2）服务地点要求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采购人指定地点（国家税务总局福建省税务局，福建省福州市铜盘路36号）。</w:t>
      </w:r>
    </w:p>
    <w:p>
      <w:pPr>
        <w:snapToGrid w:val="0"/>
        <w:spacing w:line="400" w:lineRule="exact"/>
        <w:ind w:firstLine="420" w:firstLineChars="200"/>
        <w:rPr>
          <w:rFonts w:hint="eastAsia" w:ascii="宋体" w:hAnsi="宋体" w:cs="宋体"/>
          <w:szCs w:val="21"/>
        </w:rPr>
      </w:pPr>
      <w:r>
        <w:rPr>
          <w:rFonts w:hint="eastAsia" w:ascii="宋体" w:hAnsi="宋体" w:cs="宋体"/>
          <w:szCs w:val="21"/>
        </w:rPr>
        <w:t>（3）服务形式要求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①中标人必须为本项目建立独立的技术支持组织，并按照福建省税务局要求，服从采购人的统一调度和管理。中标人应提供该组织的分工安排、详细的人员组成情况等。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②提供7×24小时技术支持响应；</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③按照采购人的要求，对重大问题提供现场技术支持，保证税收业务的正常开展；</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④服务方式包括技术支持平台、会议、传真、电话、互联网、E-mail和现场等方式；</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⑤技术支持服务期内每季度提供巡检服务，并向用户提供巡检报告；</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⑥提供的技术支持要考虑税务机关操作人员、管理人员和广大纳税人用户的不同需求；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⑦运行技术支持方案、问题管理规范须招标人确认，遵循税务总局有关数据管理规范。</w:t>
      </w:r>
    </w:p>
    <w:p>
      <w:pPr>
        <w:snapToGrid w:val="0"/>
        <w:spacing w:line="400" w:lineRule="exact"/>
        <w:ind w:firstLine="420" w:firstLineChars="200"/>
        <w:rPr>
          <w:rFonts w:hint="eastAsia" w:ascii="宋体" w:hAnsi="宋体" w:cs="宋体"/>
          <w:szCs w:val="21"/>
        </w:rPr>
      </w:pPr>
      <w:bookmarkStart w:id="79" w:name="_Toc13281"/>
      <w:bookmarkStart w:id="80" w:name="_Toc72140092"/>
      <w:bookmarkStart w:id="81" w:name="_Toc23496"/>
      <w:bookmarkStart w:id="82" w:name="_Toc8112"/>
      <w:r>
        <w:rPr>
          <w:rFonts w:hint="eastAsia" w:ascii="宋体" w:hAnsi="宋体" w:cs="宋体"/>
          <w:szCs w:val="21"/>
        </w:rPr>
        <w:t>5.服务人员要求</w:t>
      </w:r>
      <w:bookmarkEnd w:id="79"/>
      <w:bookmarkEnd w:id="80"/>
      <w:bookmarkEnd w:id="81"/>
      <w:bookmarkEnd w:id="82"/>
    </w:p>
    <w:p>
      <w:pPr>
        <w:snapToGrid w:val="0"/>
        <w:spacing w:line="400" w:lineRule="exact"/>
        <w:ind w:firstLine="420" w:firstLineChars="200"/>
        <w:rPr>
          <w:rFonts w:hint="eastAsia" w:ascii="宋体" w:hAnsi="宋体" w:cs="宋体"/>
          <w:szCs w:val="21"/>
        </w:rPr>
      </w:pPr>
      <w:r>
        <w:rPr>
          <w:rFonts w:hint="eastAsia" w:ascii="宋体" w:hAnsi="宋体" w:cs="宋体"/>
          <w:szCs w:val="21"/>
        </w:rPr>
        <w:t>①技术支持服务人员构成</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中标人应组织专业技术人员，提供技术支持服务，技术支持人员应根据采购人要求对技术人员进行统一调配。</w:t>
      </w:r>
    </w:p>
    <w:p>
      <w:pPr>
        <w:snapToGrid w:val="0"/>
        <w:spacing w:line="400" w:lineRule="exact"/>
        <w:ind w:firstLine="420" w:firstLineChars="200"/>
        <w:rPr>
          <w:rFonts w:hint="eastAsia" w:ascii="宋体" w:hAnsi="宋体" w:cs="宋体"/>
          <w:szCs w:val="21"/>
        </w:rPr>
      </w:pPr>
      <w:r>
        <w:rPr>
          <w:rFonts w:hint="eastAsia" w:ascii="宋体" w:hAnsi="宋体" w:cs="宋体"/>
          <w:szCs w:val="21"/>
        </w:rPr>
        <w:t>包1技术支持服务团队人员应有不少于6名复合型人才（包含项目经理1人），具备一定的税收业务知识，有5年以上信息技术行业从业经验，熟练掌握数据处理和数据库脚本开发能力。</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②技术支持服务人员管理</w:t>
      </w:r>
    </w:p>
    <w:p>
      <w:pPr>
        <w:snapToGrid w:val="0"/>
        <w:spacing w:line="400" w:lineRule="exact"/>
        <w:ind w:firstLine="420" w:firstLineChars="200"/>
        <w:rPr>
          <w:rFonts w:hint="eastAsia" w:ascii="宋体" w:hAnsi="宋体" w:cs="宋体"/>
          <w:szCs w:val="21"/>
        </w:rPr>
      </w:pPr>
      <w:r>
        <w:rPr>
          <w:rFonts w:hint="eastAsia" w:ascii="宋体" w:hAnsi="宋体" w:cs="宋体"/>
          <w:szCs w:val="21"/>
        </w:rPr>
        <w:t>支持服务人员受中标人和采购人双重管理，采购人的意见应作为支持服务人员业绩考核的重要依据；</w:t>
      </w:r>
    </w:p>
    <w:p>
      <w:pPr>
        <w:snapToGrid w:val="0"/>
        <w:spacing w:line="400" w:lineRule="exact"/>
        <w:ind w:firstLine="420" w:firstLineChars="200"/>
        <w:rPr>
          <w:rFonts w:hint="eastAsia" w:ascii="宋体" w:hAnsi="宋体" w:cs="宋体"/>
          <w:szCs w:val="21"/>
        </w:rPr>
      </w:pPr>
      <w:r>
        <w:rPr>
          <w:rFonts w:hint="eastAsia" w:ascii="宋体" w:hAnsi="宋体" w:cs="宋体"/>
          <w:szCs w:val="21"/>
        </w:rPr>
        <w:t>技术支持人员要相对固定，须与所提供的人员名单相符，不经采购人许可随意变更，采购人有权追究中标人责任，并采取相应的处罚措施。并且技术支持的核心人员要固定，核心人员由采购人认定；</w:t>
      </w:r>
    </w:p>
    <w:p>
      <w:pPr>
        <w:snapToGrid w:val="0"/>
        <w:spacing w:line="400" w:lineRule="exact"/>
        <w:ind w:firstLine="420" w:firstLineChars="200"/>
        <w:rPr>
          <w:rFonts w:hint="eastAsia" w:ascii="宋体" w:hAnsi="宋体" w:cs="宋体"/>
          <w:szCs w:val="21"/>
        </w:rPr>
      </w:pPr>
      <w:r>
        <w:rPr>
          <w:rFonts w:hint="eastAsia" w:ascii="宋体" w:hAnsi="宋体" w:cs="宋体"/>
          <w:szCs w:val="21"/>
        </w:rPr>
        <w:t>服务人员的工作调整和人员变动，必须提前征得采购人同意。如在未征得采购人同意的前提下，中标人擅自对服务人员的工作和人员进行调整变动，该行为被视为中标人违约，采购人有权对中标人进行责任追究和要求赔偿；如果因为中标人的擅自调整，造成采购人的损失，中标人应承担相应的赔偿责任；</w:t>
      </w:r>
    </w:p>
    <w:p>
      <w:pPr>
        <w:snapToGrid w:val="0"/>
        <w:spacing w:line="400" w:lineRule="exact"/>
        <w:ind w:firstLine="420" w:firstLineChars="200"/>
        <w:rPr>
          <w:rFonts w:hint="eastAsia" w:ascii="宋体" w:hAnsi="宋体" w:cs="宋体"/>
          <w:szCs w:val="21"/>
        </w:rPr>
      </w:pPr>
      <w:r>
        <w:rPr>
          <w:rFonts w:hint="eastAsia" w:ascii="宋体" w:hAnsi="宋体" w:cs="宋体"/>
          <w:szCs w:val="21"/>
        </w:rPr>
        <w:t>技术支持人员作息时间与采购人保持一致，紧急情况下，应服从采购人的调遣；技术支持人员工作能力和工作态度达不到技术支持工作要求的，采购人有权要求中标人更换，中标人应及时更换相关人员；</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中标人应保持项目团队的稳定；技术支持服务相关费用已包含在投标总价中，人员差旅费、出差补助、工资由中标人承担，技术支持服务人员在采购人要求的地点的食宿由中标人承担。</w:t>
      </w:r>
    </w:p>
    <w:p>
      <w:pPr>
        <w:snapToGrid w:val="0"/>
        <w:spacing w:line="400" w:lineRule="exact"/>
        <w:ind w:firstLine="420" w:firstLineChars="200"/>
        <w:rPr>
          <w:rFonts w:hint="eastAsia" w:ascii="宋体" w:hAnsi="宋体" w:cs="宋体"/>
          <w:szCs w:val="21"/>
        </w:rPr>
      </w:pPr>
      <w:bookmarkStart w:id="83" w:name="_Toc29301"/>
      <w:bookmarkStart w:id="84" w:name="_Toc26392"/>
      <w:bookmarkStart w:id="85" w:name="_Toc72140093"/>
      <w:bookmarkStart w:id="86" w:name="_Toc1116"/>
      <w:r>
        <w:rPr>
          <w:rFonts w:hint="eastAsia" w:ascii="宋体" w:hAnsi="宋体" w:cs="宋体"/>
          <w:szCs w:val="21"/>
        </w:rPr>
        <w:t>（5）服务范围要求</w:t>
      </w:r>
      <w:bookmarkEnd w:id="83"/>
      <w:bookmarkEnd w:id="84"/>
      <w:bookmarkEnd w:id="85"/>
      <w:bookmarkEnd w:id="86"/>
    </w:p>
    <w:p>
      <w:pPr>
        <w:snapToGrid w:val="0"/>
        <w:spacing w:line="400" w:lineRule="exact"/>
        <w:ind w:firstLine="420" w:firstLineChars="200"/>
        <w:rPr>
          <w:rFonts w:hint="eastAsia" w:ascii="宋体" w:hAnsi="宋体" w:cs="宋体"/>
          <w:szCs w:val="21"/>
        </w:rPr>
      </w:pPr>
      <w:r>
        <w:rPr>
          <w:rFonts w:hint="eastAsia" w:ascii="宋体" w:hAnsi="宋体" w:cs="宋体"/>
          <w:szCs w:val="21"/>
        </w:rPr>
        <w:t>在服务期内，中标人提供的技术支持服务包括但不限于以下内容：</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中标人在完成税务区块链基础平台推广上线后，做好相应技术支持工作。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①问题解答</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中标人应对系统使用过程中出现的各类问题进行解答；处理建议应以前台操作为主，能够通过前台操作完成的，不能在后台调整；</w:t>
      </w:r>
    </w:p>
    <w:p>
      <w:pPr>
        <w:snapToGrid w:val="0"/>
        <w:spacing w:line="400" w:lineRule="exact"/>
        <w:ind w:firstLine="420" w:firstLineChars="200"/>
        <w:rPr>
          <w:rFonts w:hint="eastAsia" w:ascii="宋体" w:hAnsi="宋体" w:cs="宋体"/>
          <w:szCs w:val="21"/>
        </w:rPr>
      </w:pPr>
      <w:r>
        <w:rPr>
          <w:rFonts w:hint="eastAsia" w:ascii="宋体" w:hAnsi="宋体" w:cs="宋体"/>
          <w:szCs w:val="21"/>
        </w:rPr>
        <w:t>操作中出现的常见问题，应及时整理予以发布；</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中标人应对问题解答风险负责，如因中标人解答不当，造成采购人的损失，中标人应负相应的赔偿责任。</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②故障处理</w:t>
      </w:r>
    </w:p>
    <w:p>
      <w:pPr>
        <w:snapToGrid w:val="0"/>
        <w:spacing w:line="400" w:lineRule="exact"/>
        <w:ind w:firstLine="420" w:firstLineChars="200"/>
        <w:rPr>
          <w:rFonts w:hint="eastAsia" w:ascii="宋体" w:hAnsi="宋体" w:cs="宋体"/>
          <w:szCs w:val="21"/>
        </w:rPr>
      </w:pPr>
      <w:r>
        <w:rPr>
          <w:rFonts w:hint="eastAsia" w:ascii="宋体" w:hAnsi="宋体" w:cs="宋体"/>
          <w:szCs w:val="21"/>
        </w:rPr>
        <w:t>系统运行、升级期间出现故障由中标人及时进行处理、解决；</w:t>
      </w:r>
    </w:p>
    <w:p>
      <w:pPr>
        <w:snapToGrid w:val="0"/>
        <w:spacing w:line="400" w:lineRule="exact"/>
        <w:ind w:firstLine="420" w:firstLineChars="200"/>
        <w:rPr>
          <w:rFonts w:hint="eastAsia" w:ascii="宋体" w:hAnsi="宋体" w:cs="宋体"/>
          <w:szCs w:val="21"/>
        </w:rPr>
      </w:pPr>
      <w:r>
        <w:rPr>
          <w:rFonts w:hint="eastAsia" w:ascii="宋体" w:hAnsi="宋体" w:cs="宋体"/>
          <w:szCs w:val="21"/>
        </w:rPr>
        <w:t>在系统出现非停机性质的故障如系统运行缓慢时，视同系统故障；</w:t>
      </w:r>
    </w:p>
    <w:p>
      <w:pPr>
        <w:snapToGrid w:val="0"/>
        <w:spacing w:line="400" w:lineRule="exact"/>
        <w:ind w:firstLine="420" w:firstLineChars="200"/>
        <w:rPr>
          <w:rFonts w:hint="eastAsia" w:ascii="宋体" w:hAnsi="宋体" w:cs="宋体"/>
          <w:szCs w:val="21"/>
        </w:rPr>
      </w:pPr>
      <w:r>
        <w:rPr>
          <w:rFonts w:hint="eastAsia" w:ascii="宋体" w:hAnsi="宋体" w:cs="宋体"/>
          <w:szCs w:val="21"/>
        </w:rPr>
        <w:t>在系统故障原因不明时，由中标人负责故障诊断；</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对系统故障提出故障处理建议，经采购人同意后，由中标人进行排除、系统调优或重置；中标人应对系统故障的处理风险负责，如因中标人技术人员的处理不当，造成招标人的损失，中标人应负相应的赔偿责任。</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③基础环境技术支持</w:t>
      </w:r>
    </w:p>
    <w:p>
      <w:pPr>
        <w:snapToGrid w:val="0"/>
        <w:spacing w:line="400" w:lineRule="exact"/>
        <w:ind w:firstLine="420" w:firstLineChars="200"/>
        <w:rPr>
          <w:rFonts w:hint="eastAsia" w:ascii="宋体" w:hAnsi="宋体" w:cs="宋体"/>
          <w:szCs w:val="21"/>
        </w:rPr>
      </w:pPr>
      <w:r>
        <w:rPr>
          <w:rFonts w:hint="eastAsia" w:ascii="宋体" w:hAnsi="宋体" w:cs="宋体"/>
          <w:szCs w:val="21"/>
        </w:rPr>
        <w:t>配合采购人完成对服务器、存储设备、安全设备、数据库、中间件等资源的全面管理，以及系统推广后的日常监控和调优；</w:t>
      </w:r>
    </w:p>
    <w:p>
      <w:pPr>
        <w:snapToGrid w:val="0"/>
        <w:spacing w:line="400" w:lineRule="exact"/>
        <w:ind w:firstLine="420" w:firstLineChars="200"/>
        <w:rPr>
          <w:rFonts w:hint="eastAsia" w:ascii="宋体" w:hAnsi="宋体" w:cs="宋体"/>
          <w:szCs w:val="21"/>
        </w:rPr>
      </w:pPr>
      <w:r>
        <w:rPr>
          <w:rFonts w:hint="eastAsia" w:ascii="宋体" w:hAnsi="宋体" w:cs="宋体"/>
          <w:szCs w:val="21"/>
        </w:rPr>
        <w:t>对系统性能进行监控，定期提供性能报表和趋势表，为应用性能优化提供科学依据；经招标人同意后进行各项系统级参数的调整，日志空间整理，以保证系统的稳定高效运行；</w:t>
      </w:r>
    </w:p>
    <w:p>
      <w:pPr>
        <w:snapToGrid w:val="0"/>
        <w:spacing w:line="400" w:lineRule="exact"/>
        <w:ind w:firstLine="420" w:firstLineChars="200"/>
        <w:rPr>
          <w:rFonts w:hint="eastAsia" w:ascii="宋体" w:hAnsi="宋体" w:cs="宋体"/>
          <w:szCs w:val="21"/>
        </w:rPr>
      </w:pPr>
      <w:r>
        <w:rPr>
          <w:rFonts w:hint="eastAsia" w:ascii="宋体" w:hAnsi="宋体" w:cs="宋体"/>
          <w:szCs w:val="21"/>
        </w:rPr>
        <w:t>完成故障事件收集、过滤、关联和处理等工作，实现对故障的快速定位、处理。</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④应用系统技术支持</w:t>
      </w:r>
    </w:p>
    <w:p>
      <w:pPr>
        <w:snapToGrid w:val="0"/>
        <w:spacing w:line="400" w:lineRule="exact"/>
        <w:ind w:firstLine="420" w:firstLineChars="200"/>
        <w:rPr>
          <w:rFonts w:hint="eastAsia" w:ascii="宋体" w:hAnsi="宋体" w:cs="宋体"/>
          <w:szCs w:val="21"/>
        </w:rPr>
      </w:pPr>
      <w:r>
        <w:rPr>
          <w:rFonts w:hint="eastAsia" w:ascii="宋体" w:hAnsi="宋体" w:cs="宋体"/>
          <w:szCs w:val="21"/>
        </w:rPr>
        <w:t>基于现有的技术和开发架构对系统提供运行技术支持和优化建议；</w:t>
      </w:r>
    </w:p>
    <w:p>
      <w:pPr>
        <w:snapToGrid w:val="0"/>
        <w:spacing w:line="400" w:lineRule="exact"/>
        <w:ind w:firstLine="420" w:firstLineChars="200"/>
        <w:rPr>
          <w:rFonts w:hint="eastAsia" w:ascii="宋体" w:hAnsi="宋体" w:cs="宋体"/>
          <w:szCs w:val="21"/>
        </w:rPr>
      </w:pPr>
      <w:r>
        <w:rPr>
          <w:rFonts w:hint="eastAsia" w:ascii="宋体" w:hAnsi="宋体" w:cs="宋体"/>
          <w:szCs w:val="21"/>
        </w:rPr>
        <w:t>对系统和各功能模块的运行效率、性能进行分析，并根据分析结果进行程序优化、参数调整、结构扩展、重新部署等；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受理基层操作人员问题，进行问题核实，解决问题以及相关培训；</w:t>
      </w:r>
    </w:p>
    <w:p>
      <w:pPr>
        <w:snapToGrid w:val="0"/>
        <w:spacing w:line="400" w:lineRule="exact"/>
        <w:ind w:firstLine="420" w:firstLineChars="200"/>
        <w:rPr>
          <w:rFonts w:hint="eastAsia" w:ascii="宋体" w:hAnsi="宋体" w:cs="宋体"/>
          <w:szCs w:val="21"/>
        </w:rPr>
      </w:pPr>
      <w:r>
        <w:rPr>
          <w:rFonts w:hint="eastAsia" w:ascii="宋体" w:hAnsi="宋体" w:cs="宋体"/>
          <w:szCs w:val="21"/>
        </w:rPr>
        <w:t>配合采购人完成系统升级测试等工作。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⑤知识库建设</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中标人应负责相关知识库的建设和维护工作，安排相关人员按月对知识进行整理、审核、入库等工作。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⑥技术支持服务管理支持</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中标人应根据招标人要求，提供一套符合规定流程、满足管理、统计需要的技术支持软件；</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中标人应配合采购人做好相关技术支持工作情况统计。</w:t>
      </w:r>
    </w:p>
    <w:p>
      <w:pPr>
        <w:snapToGrid w:val="0"/>
        <w:spacing w:line="400" w:lineRule="exact"/>
        <w:ind w:firstLine="420" w:firstLineChars="200"/>
        <w:rPr>
          <w:rFonts w:hint="eastAsia" w:ascii="宋体" w:hAnsi="宋体" w:cs="宋体"/>
          <w:szCs w:val="21"/>
        </w:rPr>
      </w:pPr>
      <w:bookmarkStart w:id="87" w:name="_Toc4161"/>
      <w:bookmarkStart w:id="88" w:name="_Toc16598"/>
      <w:bookmarkStart w:id="89" w:name="_Toc72140094"/>
      <w:bookmarkStart w:id="90" w:name="_Toc11983"/>
      <w:r>
        <w:rPr>
          <w:rFonts w:hint="eastAsia" w:ascii="宋体" w:hAnsi="宋体" w:cs="宋体"/>
          <w:szCs w:val="21"/>
        </w:rPr>
        <w:t>（6）服务响应要求</w:t>
      </w:r>
      <w:bookmarkEnd w:id="87"/>
      <w:bookmarkEnd w:id="88"/>
      <w:bookmarkEnd w:id="89"/>
      <w:bookmarkEnd w:id="90"/>
    </w:p>
    <w:p>
      <w:pPr>
        <w:snapToGrid w:val="0"/>
        <w:spacing w:line="400" w:lineRule="exact"/>
        <w:ind w:firstLine="420" w:firstLineChars="200"/>
        <w:rPr>
          <w:rFonts w:hint="eastAsia" w:ascii="宋体" w:hAnsi="宋体" w:cs="宋体"/>
          <w:szCs w:val="21"/>
        </w:rPr>
      </w:pPr>
      <w:r>
        <w:rPr>
          <w:rFonts w:hint="eastAsia" w:ascii="宋体" w:hAnsi="宋体" w:cs="宋体"/>
          <w:szCs w:val="21"/>
        </w:rPr>
        <w:t>对系统故障，技术人员需30分钟之内作出实质性响应，1小时之内解决问题；如服务人员无法解决，中标人需指派后台高级工程师在2小时内到达故障或通过堡垒机接入系统进行解决，在报修8小时内恢复采购人系统的正常运行。</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中标人应在问题解决后24小时内，提交问题处理报告，说明问题种类、问题原因、问题解决中使用的方法及造成的损失等情况。</w:t>
      </w:r>
    </w:p>
    <w:p>
      <w:pPr>
        <w:snapToGrid w:val="0"/>
        <w:spacing w:line="400" w:lineRule="exact"/>
        <w:ind w:firstLine="420" w:firstLineChars="200"/>
        <w:rPr>
          <w:rFonts w:hint="eastAsia" w:ascii="宋体" w:hAnsi="宋体" w:cs="宋体"/>
          <w:szCs w:val="21"/>
        </w:rPr>
      </w:pPr>
      <w:r>
        <w:rPr>
          <w:rFonts w:hint="eastAsia" w:ascii="宋体" w:hAnsi="宋体" w:cs="宋体"/>
          <w:szCs w:val="21"/>
        </w:rPr>
        <w:t>6.文档管理要求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中标人需要按照福建省税务局要求，提交相应文档，并保证文档质量。所有文档必须符合福建省税务局文档管理规范。中标人提供的交付物必须包括但不局限于以下内容：</w:t>
      </w:r>
    </w:p>
    <w:p>
      <w:pPr>
        <w:snapToGrid w:val="0"/>
        <w:spacing w:line="400" w:lineRule="exact"/>
        <w:ind w:firstLine="420" w:firstLineChars="200"/>
        <w:rPr>
          <w:rFonts w:hint="eastAsia" w:ascii="宋体" w:hAnsi="宋体" w:cs="宋体"/>
          <w:szCs w:val="21"/>
        </w:rPr>
      </w:pPr>
    </w:p>
    <w:tbl>
      <w:tblPr>
        <w:tblStyle w:val="24"/>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8"/>
        <w:gridCol w:w="3629"/>
        <w:gridCol w:w="1729"/>
        <w:gridCol w:w="116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41" w:hRule="atLeast"/>
          <w:jc w:val="center"/>
        </w:trPr>
        <w:tc>
          <w:tcPr>
            <w:tcW w:w="728" w:type="dxa"/>
            <w:shd w:val="clear" w:color="auto" w:fill="FFFFFF"/>
            <w:vAlign w:val="center"/>
          </w:tcPr>
          <w:p>
            <w:pPr>
              <w:snapToGrid w:val="0"/>
              <w:spacing w:line="400" w:lineRule="exact"/>
              <w:rPr>
                <w:rFonts w:hint="eastAsia" w:ascii="宋体" w:hAnsi="宋体" w:cs="宋体"/>
                <w:b/>
                <w:szCs w:val="21"/>
              </w:rPr>
            </w:pPr>
            <w:r>
              <w:rPr>
                <w:rFonts w:hint="eastAsia" w:ascii="宋体" w:hAnsi="宋体" w:cs="宋体"/>
                <w:b/>
                <w:szCs w:val="21"/>
              </w:rPr>
              <w:t>序号</w:t>
            </w:r>
          </w:p>
        </w:tc>
        <w:tc>
          <w:tcPr>
            <w:tcW w:w="3629" w:type="dxa"/>
            <w:shd w:val="clear" w:color="auto" w:fill="FFFFFF"/>
            <w:vAlign w:val="center"/>
          </w:tcPr>
          <w:p>
            <w:pPr>
              <w:snapToGrid w:val="0"/>
              <w:spacing w:line="400" w:lineRule="exact"/>
              <w:ind w:firstLine="482"/>
              <w:jc w:val="center"/>
              <w:rPr>
                <w:rFonts w:hint="eastAsia" w:ascii="宋体" w:hAnsi="宋体" w:cs="宋体"/>
                <w:b/>
                <w:szCs w:val="21"/>
              </w:rPr>
            </w:pPr>
            <w:r>
              <w:rPr>
                <w:rFonts w:hint="eastAsia" w:ascii="宋体" w:hAnsi="宋体" w:cs="宋体"/>
                <w:b/>
                <w:szCs w:val="21"/>
              </w:rPr>
              <w:t>交付物名称</w:t>
            </w:r>
          </w:p>
        </w:tc>
        <w:tc>
          <w:tcPr>
            <w:tcW w:w="1729" w:type="dxa"/>
            <w:shd w:val="clear" w:color="auto" w:fill="FFFFFF"/>
            <w:vAlign w:val="center"/>
          </w:tcPr>
          <w:p>
            <w:pPr>
              <w:snapToGrid w:val="0"/>
              <w:spacing w:line="400" w:lineRule="exact"/>
              <w:jc w:val="center"/>
              <w:rPr>
                <w:rFonts w:hint="eastAsia" w:ascii="宋体" w:hAnsi="宋体" w:cs="宋体"/>
                <w:b/>
                <w:szCs w:val="21"/>
              </w:rPr>
            </w:pPr>
            <w:r>
              <w:rPr>
                <w:rFonts w:hint="eastAsia" w:ascii="宋体" w:hAnsi="宋体" w:cs="宋体"/>
                <w:b/>
                <w:szCs w:val="21"/>
              </w:rPr>
              <w:t>形式</w:t>
            </w:r>
          </w:p>
        </w:tc>
        <w:tc>
          <w:tcPr>
            <w:tcW w:w="1168" w:type="dxa"/>
            <w:shd w:val="clear" w:color="auto" w:fill="FFFFFF"/>
            <w:vAlign w:val="center"/>
          </w:tcPr>
          <w:p>
            <w:pPr>
              <w:snapToGrid w:val="0"/>
              <w:spacing w:line="400" w:lineRule="exact"/>
              <w:ind w:firstLine="105" w:firstLineChars="50"/>
              <w:rPr>
                <w:rFonts w:hint="eastAsia" w:ascii="宋体" w:hAnsi="宋体" w:cs="宋体"/>
                <w:b/>
                <w:szCs w:val="21"/>
              </w:rPr>
            </w:pPr>
            <w:r>
              <w:rPr>
                <w:rFonts w:hint="eastAsia" w:ascii="宋体" w:hAnsi="宋体" w:cs="宋体"/>
                <w:b/>
                <w:szCs w:val="21"/>
              </w:rPr>
              <w:t>数量</w:t>
            </w:r>
          </w:p>
        </w:tc>
        <w:tc>
          <w:tcPr>
            <w:tcW w:w="999" w:type="dxa"/>
            <w:shd w:val="clear" w:color="auto" w:fill="FFFFFF"/>
            <w:vAlign w:val="center"/>
          </w:tcPr>
          <w:p>
            <w:pPr>
              <w:snapToGrid w:val="0"/>
              <w:spacing w:line="400" w:lineRule="exact"/>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0" w:hRule="atLeast"/>
          <w:jc w:val="center"/>
        </w:trPr>
        <w:tc>
          <w:tcPr>
            <w:tcW w:w="728" w:type="dxa"/>
            <w:shd w:val="clear" w:color="auto" w:fill="FFFFFF"/>
            <w:vAlign w:val="center"/>
          </w:tcPr>
          <w:p>
            <w:pPr>
              <w:spacing w:line="400" w:lineRule="exact"/>
              <w:jc w:val="center"/>
              <w:rPr>
                <w:rFonts w:hint="eastAsia" w:ascii="宋体" w:hAnsi="宋体" w:cs="宋体"/>
                <w:szCs w:val="21"/>
                <w:lang w:val="en-GB"/>
              </w:rPr>
            </w:pPr>
            <w:r>
              <w:rPr>
                <w:rFonts w:hint="eastAsia" w:ascii="宋体" w:hAnsi="宋体" w:cs="宋体"/>
                <w:szCs w:val="21"/>
                <w:lang w:val="en-GB"/>
              </w:rPr>
              <w:t>1</w:t>
            </w:r>
          </w:p>
        </w:tc>
        <w:tc>
          <w:tcPr>
            <w:tcW w:w="3629" w:type="dxa"/>
            <w:shd w:val="clear" w:color="auto" w:fill="FFFFFF"/>
          </w:tcPr>
          <w:p>
            <w:pPr>
              <w:tabs>
                <w:tab w:val="left" w:pos="1134"/>
                <w:tab w:val="left" w:pos="1560"/>
              </w:tabs>
              <w:spacing w:line="400" w:lineRule="exact"/>
              <w:ind w:firstLine="480"/>
              <w:jc w:val="center"/>
              <w:rPr>
                <w:rFonts w:hint="eastAsia" w:ascii="宋体" w:hAnsi="宋体" w:cs="宋体"/>
                <w:szCs w:val="21"/>
                <w:lang w:val="en-GB"/>
              </w:rPr>
            </w:pPr>
            <w:r>
              <w:rPr>
                <w:rFonts w:hint="eastAsia" w:ascii="宋体" w:hAnsi="宋体" w:cs="宋体"/>
                <w:szCs w:val="21"/>
                <w:lang w:val="en-GB"/>
              </w:rPr>
              <w:t>《软件需求规格说明书》</w:t>
            </w:r>
          </w:p>
        </w:tc>
        <w:tc>
          <w:tcPr>
            <w:tcW w:w="1729" w:type="dxa"/>
            <w:shd w:val="clear" w:color="auto" w:fill="FFFFFF"/>
          </w:tcPr>
          <w:p>
            <w:pPr>
              <w:spacing w:line="400" w:lineRule="exact"/>
              <w:jc w:val="center"/>
              <w:rPr>
                <w:rFonts w:hint="eastAsia" w:ascii="宋体" w:hAnsi="宋体" w:cs="宋体"/>
                <w:szCs w:val="21"/>
                <w:lang w:val="en-GB"/>
              </w:rPr>
            </w:pPr>
            <w:r>
              <w:rPr>
                <w:rFonts w:hint="eastAsia" w:ascii="宋体" w:hAnsi="宋体" w:cs="宋体"/>
                <w:szCs w:val="21"/>
                <w:lang w:val="en-GB"/>
              </w:rPr>
              <w:t>电子、纸质</w:t>
            </w:r>
          </w:p>
        </w:tc>
        <w:tc>
          <w:tcPr>
            <w:tcW w:w="1168" w:type="dxa"/>
            <w:shd w:val="clear" w:color="auto" w:fill="FFFFFF"/>
          </w:tcPr>
          <w:p>
            <w:pPr>
              <w:spacing w:line="400" w:lineRule="exact"/>
              <w:ind w:firstLine="480"/>
              <w:jc w:val="center"/>
              <w:rPr>
                <w:rFonts w:hint="eastAsia" w:ascii="宋体" w:hAnsi="宋体" w:cs="宋体"/>
                <w:szCs w:val="21"/>
                <w:lang w:val="en-GB"/>
              </w:rPr>
            </w:pPr>
          </w:p>
        </w:tc>
        <w:tc>
          <w:tcPr>
            <w:tcW w:w="999" w:type="dxa"/>
            <w:shd w:val="clear" w:color="auto" w:fill="FFFFFF"/>
          </w:tcPr>
          <w:p>
            <w:pPr>
              <w:snapToGrid w:val="0"/>
              <w:spacing w:line="400" w:lineRule="exact"/>
              <w:ind w:firstLine="480"/>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0" w:hRule="atLeast"/>
          <w:jc w:val="center"/>
        </w:trPr>
        <w:tc>
          <w:tcPr>
            <w:tcW w:w="728" w:type="dxa"/>
            <w:shd w:val="clear" w:color="auto" w:fill="FFFFFF"/>
            <w:vAlign w:val="center"/>
          </w:tcPr>
          <w:p>
            <w:pPr>
              <w:spacing w:line="400" w:lineRule="exact"/>
              <w:jc w:val="center"/>
              <w:rPr>
                <w:rFonts w:hint="eastAsia" w:ascii="宋体" w:hAnsi="宋体" w:cs="宋体"/>
                <w:szCs w:val="21"/>
                <w:lang w:val="en-GB"/>
              </w:rPr>
            </w:pPr>
            <w:r>
              <w:rPr>
                <w:rFonts w:hint="eastAsia" w:ascii="宋体" w:hAnsi="宋体" w:cs="宋体"/>
                <w:szCs w:val="21"/>
                <w:lang w:val="en-GB"/>
              </w:rPr>
              <w:t>2</w:t>
            </w:r>
          </w:p>
        </w:tc>
        <w:tc>
          <w:tcPr>
            <w:tcW w:w="3629" w:type="dxa"/>
            <w:shd w:val="clear" w:color="auto" w:fill="FFFFFF"/>
          </w:tcPr>
          <w:p>
            <w:pPr>
              <w:tabs>
                <w:tab w:val="left" w:pos="1134"/>
                <w:tab w:val="left" w:pos="1560"/>
              </w:tabs>
              <w:spacing w:line="400" w:lineRule="exact"/>
              <w:ind w:firstLine="480"/>
              <w:jc w:val="center"/>
              <w:rPr>
                <w:rFonts w:hint="eastAsia" w:ascii="宋体" w:hAnsi="宋体" w:cs="宋体"/>
                <w:szCs w:val="21"/>
                <w:lang w:val="en-GB"/>
              </w:rPr>
            </w:pPr>
            <w:r>
              <w:rPr>
                <w:rFonts w:hint="eastAsia" w:ascii="宋体" w:hAnsi="宋体" w:cs="宋体"/>
                <w:szCs w:val="21"/>
                <w:lang w:val="en-GB"/>
              </w:rPr>
              <w:t>《系统设计说明书》</w:t>
            </w:r>
          </w:p>
        </w:tc>
        <w:tc>
          <w:tcPr>
            <w:tcW w:w="1729" w:type="dxa"/>
            <w:shd w:val="clear" w:color="auto" w:fill="FFFFFF"/>
          </w:tcPr>
          <w:p>
            <w:pPr>
              <w:spacing w:line="400" w:lineRule="exact"/>
              <w:jc w:val="center"/>
              <w:rPr>
                <w:rFonts w:hint="eastAsia" w:ascii="宋体" w:hAnsi="宋体" w:cs="宋体"/>
                <w:szCs w:val="21"/>
                <w:lang w:val="en-GB"/>
              </w:rPr>
            </w:pPr>
            <w:r>
              <w:rPr>
                <w:rFonts w:hint="eastAsia" w:ascii="宋体" w:hAnsi="宋体" w:cs="宋体"/>
                <w:szCs w:val="21"/>
                <w:lang w:val="en-GB"/>
              </w:rPr>
              <w:t>电子、纸质</w:t>
            </w:r>
          </w:p>
        </w:tc>
        <w:tc>
          <w:tcPr>
            <w:tcW w:w="1168" w:type="dxa"/>
            <w:shd w:val="clear" w:color="auto" w:fill="FFFFFF"/>
          </w:tcPr>
          <w:p>
            <w:pPr>
              <w:spacing w:line="400" w:lineRule="exact"/>
              <w:ind w:firstLine="480"/>
              <w:jc w:val="center"/>
              <w:rPr>
                <w:rFonts w:hint="eastAsia" w:ascii="宋体" w:hAnsi="宋体" w:cs="宋体"/>
                <w:szCs w:val="21"/>
                <w:lang w:val="en-GB"/>
              </w:rPr>
            </w:pPr>
          </w:p>
        </w:tc>
        <w:tc>
          <w:tcPr>
            <w:tcW w:w="999" w:type="dxa"/>
            <w:shd w:val="clear" w:color="auto" w:fill="FFFFFF"/>
          </w:tcPr>
          <w:p>
            <w:pPr>
              <w:snapToGrid w:val="0"/>
              <w:spacing w:line="400" w:lineRule="exact"/>
              <w:ind w:firstLine="480"/>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0" w:hRule="atLeast"/>
          <w:jc w:val="center"/>
        </w:trPr>
        <w:tc>
          <w:tcPr>
            <w:tcW w:w="728" w:type="dxa"/>
            <w:shd w:val="clear" w:color="auto" w:fill="FFFFFF"/>
            <w:vAlign w:val="center"/>
          </w:tcPr>
          <w:p>
            <w:pPr>
              <w:spacing w:line="400" w:lineRule="exact"/>
              <w:jc w:val="center"/>
              <w:rPr>
                <w:rFonts w:hint="eastAsia" w:ascii="宋体" w:hAnsi="宋体" w:cs="宋体"/>
                <w:szCs w:val="21"/>
                <w:lang w:val="en-GB"/>
              </w:rPr>
            </w:pPr>
            <w:r>
              <w:rPr>
                <w:rFonts w:hint="eastAsia" w:ascii="宋体" w:hAnsi="宋体" w:cs="宋体"/>
                <w:szCs w:val="21"/>
                <w:lang w:val="en-GB"/>
              </w:rPr>
              <w:t>3</w:t>
            </w:r>
          </w:p>
        </w:tc>
        <w:tc>
          <w:tcPr>
            <w:tcW w:w="3629" w:type="dxa"/>
            <w:shd w:val="clear" w:color="auto" w:fill="FFFFFF"/>
          </w:tcPr>
          <w:p>
            <w:pPr>
              <w:tabs>
                <w:tab w:val="left" w:pos="1134"/>
                <w:tab w:val="left" w:pos="1560"/>
              </w:tabs>
              <w:spacing w:line="400" w:lineRule="exact"/>
              <w:ind w:firstLine="480"/>
              <w:jc w:val="center"/>
              <w:rPr>
                <w:rFonts w:hint="eastAsia" w:ascii="宋体" w:hAnsi="宋体" w:cs="宋体"/>
                <w:szCs w:val="21"/>
                <w:lang w:val="en-GB"/>
              </w:rPr>
            </w:pPr>
            <w:r>
              <w:rPr>
                <w:rFonts w:hint="eastAsia" w:ascii="宋体" w:hAnsi="宋体" w:cs="宋体"/>
                <w:szCs w:val="21"/>
                <w:lang w:val="en-GB"/>
              </w:rPr>
              <w:t>《测试报告》</w:t>
            </w:r>
          </w:p>
        </w:tc>
        <w:tc>
          <w:tcPr>
            <w:tcW w:w="1729" w:type="dxa"/>
            <w:shd w:val="clear" w:color="auto" w:fill="FFFFFF"/>
          </w:tcPr>
          <w:p>
            <w:pPr>
              <w:spacing w:line="400" w:lineRule="exact"/>
              <w:jc w:val="center"/>
              <w:rPr>
                <w:rFonts w:hint="eastAsia" w:ascii="宋体" w:hAnsi="宋体" w:cs="宋体"/>
                <w:szCs w:val="21"/>
                <w:lang w:val="en-GB"/>
              </w:rPr>
            </w:pPr>
            <w:r>
              <w:rPr>
                <w:rFonts w:hint="eastAsia" w:ascii="宋体" w:hAnsi="宋体" w:cs="宋体"/>
                <w:szCs w:val="21"/>
                <w:lang w:val="en-GB"/>
              </w:rPr>
              <w:t>电子、纸质</w:t>
            </w:r>
          </w:p>
        </w:tc>
        <w:tc>
          <w:tcPr>
            <w:tcW w:w="1168" w:type="dxa"/>
            <w:shd w:val="clear" w:color="auto" w:fill="FFFFFF"/>
          </w:tcPr>
          <w:p>
            <w:pPr>
              <w:spacing w:line="400" w:lineRule="exact"/>
              <w:ind w:firstLine="480"/>
              <w:jc w:val="center"/>
              <w:rPr>
                <w:rFonts w:hint="eastAsia" w:ascii="宋体" w:hAnsi="宋体" w:cs="宋体"/>
                <w:szCs w:val="21"/>
                <w:lang w:val="en-GB"/>
              </w:rPr>
            </w:pPr>
          </w:p>
        </w:tc>
        <w:tc>
          <w:tcPr>
            <w:tcW w:w="999" w:type="dxa"/>
            <w:shd w:val="clear" w:color="auto" w:fill="FFFFFF"/>
          </w:tcPr>
          <w:p>
            <w:pPr>
              <w:snapToGrid w:val="0"/>
              <w:spacing w:line="400" w:lineRule="exact"/>
              <w:ind w:firstLine="480"/>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40" w:hRule="atLeast"/>
          <w:jc w:val="center"/>
        </w:trPr>
        <w:tc>
          <w:tcPr>
            <w:tcW w:w="728" w:type="dxa"/>
            <w:shd w:val="clear" w:color="auto" w:fill="FFFFFF"/>
            <w:vAlign w:val="center"/>
          </w:tcPr>
          <w:p>
            <w:pPr>
              <w:spacing w:line="400" w:lineRule="exact"/>
              <w:jc w:val="center"/>
              <w:rPr>
                <w:rFonts w:hint="eastAsia" w:ascii="宋体" w:hAnsi="宋体" w:cs="宋体"/>
                <w:szCs w:val="21"/>
                <w:lang w:val="en-GB"/>
              </w:rPr>
            </w:pPr>
            <w:r>
              <w:rPr>
                <w:rFonts w:hint="eastAsia" w:ascii="宋体" w:hAnsi="宋体" w:cs="宋体"/>
                <w:szCs w:val="21"/>
                <w:lang w:val="en-GB"/>
              </w:rPr>
              <w:t>4</w:t>
            </w:r>
          </w:p>
        </w:tc>
        <w:tc>
          <w:tcPr>
            <w:tcW w:w="3629" w:type="dxa"/>
            <w:shd w:val="clear" w:color="auto" w:fill="FFFFFF"/>
          </w:tcPr>
          <w:p>
            <w:pPr>
              <w:tabs>
                <w:tab w:val="left" w:pos="1134"/>
                <w:tab w:val="left" w:pos="1560"/>
              </w:tabs>
              <w:spacing w:line="400" w:lineRule="exact"/>
              <w:ind w:firstLine="480"/>
              <w:jc w:val="center"/>
              <w:rPr>
                <w:rFonts w:hint="eastAsia" w:ascii="宋体" w:hAnsi="宋体" w:cs="宋体"/>
                <w:szCs w:val="21"/>
                <w:lang w:val="en-GB"/>
              </w:rPr>
            </w:pPr>
            <w:r>
              <w:rPr>
                <w:rFonts w:hint="eastAsia" w:ascii="宋体" w:hAnsi="宋体" w:cs="宋体"/>
                <w:szCs w:val="21"/>
                <w:lang w:val="en-GB"/>
              </w:rPr>
              <w:t>《系统验收报告》</w:t>
            </w:r>
          </w:p>
        </w:tc>
        <w:tc>
          <w:tcPr>
            <w:tcW w:w="1729" w:type="dxa"/>
            <w:shd w:val="clear" w:color="auto" w:fill="FFFFFF"/>
          </w:tcPr>
          <w:p>
            <w:pPr>
              <w:spacing w:line="400" w:lineRule="exact"/>
              <w:jc w:val="center"/>
              <w:rPr>
                <w:rFonts w:hint="eastAsia" w:ascii="宋体" w:hAnsi="宋体" w:cs="宋体"/>
                <w:szCs w:val="21"/>
                <w:lang w:val="en-GB"/>
              </w:rPr>
            </w:pPr>
            <w:r>
              <w:rPr>
                <w:rFonts w:hint="eastAsia" w:ascii="宋体" w:hAnsi="宋体" w:cs="宋体"/>
                <w:szCs w:val="21"/>
                <w:lang w:val="en-GB"/>
              </w:rPr>
              <w:t>电子、纸质</w:t>
            </w:r>
          </w:p>
        </w:tc>
        <w:tc>
          <w:tcPr>
            <w:tcW w:w="1168" w:type="dxa"/>
            <w:shd w:val="clear" w:color="auto" w:fill="FFFFFF"/>
          </w:tcPr>
          <w:p>
            <w:pPr>
              <w:spacing w:line="400" w:lineRule="exact"/>
              <w:ind w:firstLine="480"/>
              <w:jc w:val="center"/>
              <w:rPr>
                <w:rFonts w:hint="eastAsia" w:ascii="宋体" w:hAnsi="宋体" w:cs="宋体"/>
                <w:szCs w:val="21"/>
                <w:lang w:val="en-GB"/>
              </w:rPr>
            </w:pPr>
          </w:p>
        </w:tc>
        <w:tc>
          <w:tcPr>
            <w:tcW w:w="999" w:type="dxa"/>
            <w:shd w:val="clear" w:color="auto" w:fill="FFFFFF"/>
          </w:tcPr>
          <w:p>
            <w:pPr>
              <w:snapToGrid w:val="0"/>
              <w:spacing w:line="400" w:lineRule="exact"/>
              <w:ind w:firstLine="480"/>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shd w:val="clear" w:color="auto" w:fill="FFFFFF"/>
            <w:vAlign w:val="center"/>
          </w:tcPr>
          <w:p>
            <w:pPr>
              <w:spacing w:line="400" w:lineRule="exact"/>
              <w:jc w:val="center"/>
              <w:rPr>
                <w:rFonts w:hint="eastAsia" w:ascii="宋体" w:hAnsi="宋体" w:cs="宋体"/>
                <w:szCs w:val="21"/>
                <w:lang w:val="en-GB"/>
              </w:rPr>
            </w:pPr>
            <w:r>
              <w:rPr>
                <w:rFonts w:hint="eastAsia" w:ascii="宋体" w:hAnsi="宋体" w:cs="宋体"/>
                <w:szCs w:val="21"/>
                <w:lang w:val="en-GB"/>
              </w:rPr>
              <w:t>5</w:t>
            </w:r>
          </w:p>
        </w:tc>
        <w:tc>
          <w:tcPr>
            <w:tcW w:w="3629" w:type="dxa"/>
            <w:shd w:val="clear" w:color="auto" w:fill="FFFFFF"/>
          </w:tcPr>
          <w:p>
            <w:pPr>
              <w:tabs>
                <w:tab w:val="left" w:pos="1134"/>
                <w:tab w:val="left" w:pos="1560"/>
              </w:tabs>
              <w:spacing w:line="400" w:lineRule="exact"/>
              <w:ind w:firstLine="480"/>
              <w:jc w:val="center"/>
              <w:rPr>
                <w:rFonts w:hint="eastAsia" w:ascii="宋体" w:hAnsi="宋体" w:cs="宋体"/>
                <w:szCs w:val="21"/>
                <w:lang w:val="en-GB"/>
              </w:rPr>
            </w:pPr>
            <w:r>
              <w:rPr>
                <w:rFonts w:hint="eastAsia" w:ascii="宋体" w:hAnsi="宋体" w:cs="宋体"/>
                <w:szCs w:val="21"/>
                <w:lang w:val="en-GB"/>
              </w:rPr>
              <w:t>《操作手册》</w:t>
            </w:r>
          </w:p>
        </w:tc>
        <w:tc>
          <w:tcPr>
            <w:tcW w:w="1729" w:type="dxa"/>
            <w:shd w:val="clear" w:color="auto" w:fill="FFFFFF"/>
          </w:tcPr>
          <w:p>
            <w:pPr>
              <w:spacing w:line="400" w:lineRule="exact"/>
              <w:jc w:val="center"/>
              <w:rPr>
                <w:rFonts w:hint="eastAsia" w:ascii="宋体" w:hAnsi="宋体" w:cs="宋体"/>
                <w:szCs w:val="21"/>
                <w:lang w:val="en-GB"/>
              </w:rPr>
            </w:pPr>
            <w:r>
              <w:rPr>
                <w:rFonts w:hint="eastAsia" w:ascii="宋体" w:hAnsi="宋体" w:cs="宋体"/>
                <w:szCs w:val="21"/>
                <w:lang w:val="en-GB"/>
              </w:rPr>
              <w:t>电子、纸质</w:t>
            </w:r>
          </w:p>
        </w:tc>
        <w:tc>
          <w:tcPr>
            <w:tcW w:w="1168" w:type="dxa"/>
            <w:shd w:val="clear" w:color="auto" w:fill="FFFFFF"/>
          </w:tcPr>
          <w:p>
            <w:pPr>
              <w:spacing w:line="400" w:lineRule="exact"/>
              <w:ind w:firstLine="480"/>
              <w:jc w:val="center"/>
              <w:rPr>
                <w:rFonts w:hint="eastAsia" w:ascii="宋体" w:hAnsi="宋体" w:cs="宋体"/>
                <w:szCs w:val="21"/>
                <w:lang w:val="en-GB"/>
              </w:rPr>
            </w:pPr>
          </w:p>
        </w:tc>
        <w:tc>
          <w:tcPr>
            <w:tcW w:w="999" w:type="dxa"/>
            <w:shd w:val="clear" w:color="auto" w:fill="FFFFFF"/>
          </w:tcPr>
          <w:p>
            <w:pPr>
              <w:snapToGrid w:val="0"/>
              <w:spacing w:line="400" w:lineRule="exact"/>
              <w:ind w:firstLine="480"/>
              <w:jc w:val="center"/>
              <w:rPr>
                <w:rFonts w:hint="eastAsia" w:ascii="宋体" w:hAnsi="宋体" w:cs="宋体"/>
                <w:szCs w:val="21"/>
                <w:lang w:val="en-GB"/>
              </w:rPr>
            </w:pPr>
          </w:p>
        </w:tc>
      </w:tr>
    </w:tbl>
    <w:p>
      <w:pPr>
        <w:snapToGrid w:val="0"/>
        <w:spacing w:line="400" w:lineRule="exact"/>
        <w:ind w:firstLine="420" w:firstLineChars="200"/>
        <w:rPr>
          <w:rFonts w:hint="eastAsia" w:ascii="宋体" w:hAnsi="宋体" w:cs="宋体"/>
          <w:szCs w:val="21"/>
        </w:rPr>
      </w:pPr>
      <w:r>
        <w:rPr>
          <w:rFonts w:hint="eastAsia" w:ascii="宋体" w:hAnsi="宋体" w:cs="宋体"/>
          <w:szCs w:val="21"/>
        </w:rPr>
        <w:t>7.项目验收要求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（1）验收标准</w:t>
      </w:r>
    </w:p>
    <w:p>
      <w:pPr>
        <w:snapToGrid w:val="0"/>
        <w:spacing w:line="400" w:lineRule="exact"/>
        <w:ind w:firstLine="420" w:firstLineChars="200"/>
        <w:rPr>
          <w:rFonts w:hint="eastAsia" w:ascii="宋体" w:hAnsi="宋体" w:cs="宋体"/>
          <w:szCs w:val="21"/>
        </w:rPr>
      </w:pPr>
      <w:r>
        <w:rPr>
          <w:rFonts w:hint="eastAsia" w:ascii="宋体" w:hAnsi="宋体" w:cs="宋体"/>
          <w:szCs w:val="21"/>
        </w:rPr>
        <w:t>采购人以本招标文件中相关内容为依据，作为项目验收标准。中标人是否按照本招标需求书中定义的各项服务内容和服务管理开展各项工作，工作流程和结果是否符合采购人质量管理要求，是否在规定时间内提交相关工作文档。</w:t>
      </w:r>
    </w:p>
    <w:p>
      <w:pPr>
        <w:snapToGrid w:val="0"/>
        <w:spacing w:line="400" w:lineRule="exact"/>
        <w:ind w:firstLine="420" w:firstLineChars="200"/>
        <w:rPr>
          <w:rFonts w:hint="eastAsia" w:ascii="宋体" w:hAnsi="宋体" w:cs="宋体"/>
          <w:szCs w:val="21"/>
        </w:rPr>
      </w:pPr>
      <w:r>
        <w:rPr>
          <w:rFonts w:hint="eastAsia" w:ascii="宋体" w:hAnsi="宋体" w:cs="宋体"/>
          <w:szCs w:val="21"/>
        </w:rPr>
        <w:t>（2）验收方法</w:t>
      </w:r>
    </w:p>
    <w:p>
      <w:pPr>
        <w:snapToGrid w:val="0"/>
        <w:spacing w:line="400" w:lineRule="exact"/>
        <w:ind w:left="420" w:leftChars="200"/>
        <w:rPr>
          <w:rFonts w:hint="eastAsia" w:ascii="宋体" w:hAnsi="宋体" w:cs="宋体"/>
          <w:szCs w:val="21"/>
        </w:rPr>
      </w:pPr>
      <w:r>
        <w:rPr>
          <w:rFonts w:hint="eastAsia" w:ascii="宋体" w:hAnsi="宋体" w:cs="宋体"/>
          <w:szCs w:val="21"/>
        </w:rPr>
        <w:t>①初验：满足以下条件，经中标人申请，进入验收阶段：</w:t>
      </w:r>
    </w:p>
    <w:p>
      <w:pPr>
        <w:snapToGrid w:val="0"/>
        <w:spacing w:line="400" w:lineRule="exact"/>
        <w:ind w:left="420" w:leftChars="200" w:firstLine="420" w:firstLineChars="200"/>
        <w:rPr>
          <w:rFonts w:hint="eastAsia" w:ascii="宋体" w:hAnsi="宋体" w:cs="宋体"/>
          <w:szCs w:val="21"/>
        </w:rPr>
      </w:pPr>
      <w:r>
        <w:rPr>
          <w:rFonts w:hint="eastAsia" w:ascii="宋体" w:hAnsi="宋体" w:cs="宋体"/>
          <w:szCs w:val="21"/>
        </w:rPr>
        <w:t>福建税务2024年税费业务场景区块链基础平台应用推广项目经采购人组织测试达上线条件，中标人组织系统上线实施并稳定运行一个月后，中标人向采购人申请初验，提交初验报告。初验合格后，无其他未了事宜，由双方共同签署初验报告，进入一年维保期（以初验报告签署日期开始计算维保期）。</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②整体验收：项目初验完成后，系统稳定运行三个月，中标人提交项目过程文档（软件需求规格说明书、系统设计、测试报告、实施方案等），并提交整体验收报告进行项目整体验收。</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③终验：一年维保期到期后，中标人向采购人申请终验，提交维保期服务工作报告。无其他未了事宜，由双方共同签署终验报告。</w:t>
      </w:r>
    </w:p>
    <w:p>
      <w:pPr>
        <w:snapToGrid w:val="0"/>
        <w:spacing w:line="400" w:lineRule="exact"/>
        <w:ind w:firstLine="420" w:firstLineChars="200"/>
        <w:rPr>
          <w:rFonts w:hint="eastAsia" w:ascii="宋体" w:hAnsi="宋体" w:cs="宋体"/>
          <w:szCs w:val="21"/>
        </w:rPr>
      </w:pPr>
      <w:r>
        <w:rPr>
          <w:rFonts w:hint="eastAsia" w:ascii="宋体" w:hAnsi="宋体" w:cs="宋体"/>
          <w:szCs w:val="21"/>
        </w:rPr>
        <w:t>8.其他要求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（1）项目归档要求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技术支持人员要严格文档管理，对日常技术支持进行详细记录，并定期对工作进行总结形成总结报告。主要包括对常见问题处理情况进行总结；处理的疑难/重大紧急问题编写问题记录单；定期分别编写技术支持月服务及季度服务报告；对所进行健康检查编写健康检查总结报告或分析报告；对补丁升级进行记录并形成补丁升级报告。在做好以上登记工作外，还要每月进行统计归档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（2）知识转移要求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根据采购人的要求，对采购人相关人员进行必要的培训，具体包括：</w:t>
      </w:r>
    </w:p>
    <w:p>
      <w:pPr>
        <w:snapToGrid w:val="0"/>
        <w:spacing w:line="400" w:lineRule="exact"/>
        <w:ind w:firstLine="420" w:firstLineChars="200"/>
        <w:rPr>
          <w:rFonts w:hint="eastAsia" w:ascii="宋体" w:hAnsi="宋体" w:cs="宋体"/>
          <w:szCs w:val="21"/>
        </w:rPr>
      </w:pPr>
      <w:r>
        <w:rPr>
          <w:rFonts w:hint="eastAsia" w:ascii="宋体" w:hAnsi="宋体" w:cs="宋体"/>
          <w:szCs w:val="21"/>
        </w:rPr>
        <w:t>在日常工作当中，负责对采购人相关人员做口头的知识传授工作，对处理问题的方法进行日常辅导，问题包括应用系统的工作原理和数据逻辑关系及数据库、中间件等操作问题。</w:t>
      </w:r>
    </w:p>
    <w:p>
      <w:pPr>
        <w:snapToGrid w:val="0"/>
        <w:spacing w:line="400" w:lineRule="exact"/>
        <w:ind w:firstLine="420" w:firstLineChars="200"/>
        <w:rPr>
          <w:rFonts w:hint="eastAsia" w:ascii="宋体" w:hAnsi="宋体" w:cs="宋体"/>
          <w:szCs w:val="21"/>
        </w:rPr>
      </w:pPr>
      <w:r>
        <w:rPr>
          <w:rFonts w:hint="eastAsia" w:ascii="宋体" w:hAnsi="宋体" w:cs="宋体"/>
          <w:szCs w:val="21"/>
        </w:rPr>
        <w:t>每次应用系统进行大的升级后，根据采购人要求进行针对性的培训。</w:t>
      </w:r>
    </w:p>
    <w:p>
      <w:pPr>
        <w:snapToGrid w:val="0"/>
        <w:spacing w:line="400" w:lineRule="exact"/>
        <w:ind w:firstLine="420" w:firstLineChars="200"/>
        <w:rPr>
          <w:rFonts w:hint="eastAsia" w:ascii="宋体" w:hAnsi="宋体" w:cs="宋体"/>
          <w:szCs w:val="21"/>
        </w:rPr>
      </w:pPr>
      <w:r>
        <w:rPr>
          <w:rFonts w:hint="eastAsia" w:ascii="宋体" w:hAnsi="宋体" w:cs="宋体"/>
          <w:szCs w:val="21"/>
        </w:rPr>
        <w:t>采购人可以根据工作需要，提出与应用系统相关的系统问题专题讨论，由中标人收集并汇集资料，提供采购人相关人员参阅，以提高采购人相关人员工作技能。</w:t>
      </w:r>
    </w:p>
    <w:p>
      <w:pPr>
        <w:snapToGrid w:val="0"/>
        <w:spacing w:line="400" w:lineRule="exact"/>
        <w:ind w:firstLine="420" w:firstLineChars="200"/>
        <w:rPr>
          <w:rFonts w:hint="eastAsia" w:ascii="宋体" w:hAnsi="宋体" w:cs="宋体"/>
          <w:szCs w:val="21"/>
        </w:rPr>
      </w:pPr>
      <w:r>
        <w:rPr>
          <w:rFonts w:hint="eastAsia" w:ascii="宋体" w:hAnsi="宋体" w:cs="宋体"/>
          <w:szCs w:val="21"/>
        </w:rPr>
        <w:t>根据采购人的培训要求，对采购人相关业务和技术维护人员进行专场培训，收集采购人相关人员对涉及应用系统的培训需求，与采购人协商培训计划，编制培训讲稿，完成对采购人相关人员的培训工作。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对所技术支持系统的技术资料、维护脚本、配置规则等定期进行培训，形成相关资料并移交给采购人。</w:t>
      </w:r>
    </w:p>
    <w:p>
      <w:pPr>
        <w:snapToGrid w:val="0"/>
        <w:spacing w:line="400" w:lineRule="exact"/>
        <w:ind w:firstLine="420" w:firstLineChars="200"/>
        <w:rPr>
          <w:rFonts w:hint="eastAsia" w:ascii="宋体" w:hAnsi="宋体" w:cs="宋体"/>
          <w:szCs w:val="21"/>
        </w:rPr>
      </w:pPr>
      <w:r>
        <w:rPr>
          <w:rFonts w:hint="eastAsia" w:ascii="宋体" w:hAnsi="宋体" w:cs="宋体"/>
          <w:szCs w:val="21"/>
        </w:rPr>
        <w:t>（3）安全保密要求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技术支持人员应当遵守采购人对外部技术支持人员要求的各种安全管理规范，包括但不限于《中国人民共和国网络安全法》、总局关于税务信息化供应链的安全管理工作要求，以及福建省局关于供应商管理考核办法等；除需对系统软件技术支持工作负责外，技术支持人员还应对涉及的相关设备、系统以及数据安全负责。</w:t>
      </w:r>
    </w:p>
    <w:p>
      <w:pPr>
        <w:snapToGrid w:val="0"/>
        <w:spacing w:line="400" w:lineRule="exact"/>
        <w:ind w:firstLine="420" w:firstLineChars="200"/>
        <w:rPr>
          <w:rFonts w:hint="eastAsia" w:ascii="宋体" w:hAnsi="宋体" w:cs="宋体"/>
          <w:szCs w:val="21"/>
        </w:rPr>
      </w:pPr>
      <w:r>
        <w:rPr>
          <w:rFonts w:hint="eastAsia" w:ascii="宋体" w:hAnsi="宋体" w:cs="宋体"/>
          <w:szCs w:val="21"/>
        </w:rPr>
        <w:t>在项目服务期内，若因技术支持人员失误，造成系统损坏、数据丢失、数据泄漏等事故发生或故障延伸损失，中标人应承担全部责任，并采取补救措施，直至满足采购人需求，期间发生的一切费用由中标人负责承担。</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①技术支持人员应当严格遵守采购人信息安全保密制度和日常办公规定，并签订相关协议和承诺书，提供无犯罪证明或承诺书。</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②技术支持人员的工作成果归采购人所有，中标人未征得采购人书面同意，不得将技术资料泄露。如违反上述协议内容，采购人将保留追究中标人法律责任的权利。</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③技术支持人员严格遵守应用系统、内部文件、税务数据的访问范围和权限，按照采购人要求的连接方式开展系统后台技术支持。未经允许，技术支持人员不得擅自改造、拆卸、安装、带离运维场地终端设备；未经批准严禁携带笔记本电脑等外部电子设备进入运维场地；不得随意将携带的电脑和移动存储介质接入税务专网；不得在生产环境进行信息系统开发测试等。</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④技术支持人员严格遵守采购人内外网管理规定，未经允许，不得擅自从内网拷贝并向外携带办公区数据、文档、程序等信息资源，确因工作需要，须填写申请，报采购人技术支持负责人审批，并经采购人备案后，方可实施相关操作。外网的数据进入内网，必须在指定计算机上，并进行严格检查杀毒后，方可进入内网，避免将病毒或木马等带入。</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⑤其他有关安全保密规定。</w:t>
      </w:r>
    </w:p>
    <w:p>
      <w:pPr>
        <w:snapToGrid w:val="0"/>
        <w:spacing w:line="400" w:lineRule="exact"/>
        <w:ind w:firstLine="420" w:firstLineChars="200"/>
        <w:rPr>
          <w:rFonts w:hint="eastAsia" w:ascii="宋体" w:hAnsi="宋体" w:cs="宋体"/>
          <w:szCs w:val="21"/>
        </w:rPr>
      </w:pPr>
      <w:bookmarkStart w:id="91" w:name="_Toc1098761038"/>
      <w:bookmarkStart w:id="92" w:name="_Toc1663377530"/>
      <w:r>
        <w:rPr>
          <w:rFonts w:hint="eastAsia" w:ascii="宋体" w:hAnsi="宋体" w:cs="宋体"/>
          <w:szCs w:val="21"/>
        </w:rPr>
        <w:t>（4）其他工作要求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中标人还应协助采购人做好以下工作：</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①按采购人要求，对技术支持问题、解决方法等进行记录。</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②规范文档管理制度。各项文档内容必须真实可靠，按照合同内容和采购人要求，对文档进行整理。</w:t>
      </w:r>
    </w:p>
    <w:p>
      <w:pPr>
        <w:snapToGrid w:val="0"/>
        <w:spacing w:line="400" w:lineRule="exact"/>
        <w:ind w:firstLine="420" w:firstLineChars="200"/>
        <w:rPr>
          <w:rFonts w:hint="eastAsia" w:ascii="宋体" w:hAnsi="宋体" w:cs="宋体"/>
          <w:szCs w:val="21"/>
        </w:rPr>
      </w:pPr>
      <w:r>
        <w:rPr>
          <w:rFonts w:hint="eastAsia" w:ascii="宋体" w:hAnsi="宋体" w:cs="宋体"/>
          <w:szCs w:val="21"/>
        </w:rPr>
        <w:t>③采购人安排的其他工作事项。</w:t>
      </w:r>
    </w:p>
    <w:p>
      <w:pPr>
        <w:snapToGrid w:val="0"/>
        <w:spacing w:line="400" w:lineRule="exact"/>
        <w:ind w:firstLine="422" w:firstLineChars="200"/>
        <w:outlineLvl w:val="1"/>
        <w:rPr>
          <w:rFonts w:hint="eastAsia" w:ascii="宋体" w:hAnsi="宋体" w:cs="宋体"/>
          <w:b/>
          <w:bCs/>
          <w:szCs w:val="21"/>
        </w:rPr>
      </w:pPr>
      <w:r>
        <w:rPr>
          <w:rFonts w:hint="eastAsia" w:ascii="宋体" w:hAnsi="宋体" w:cs="宋体"/>
          <w:b/>
          <w:bCs/>
          <w:szCs w:val="21"/>
        </w:rPr>
        <w:t>（二）采购包2“社保费管理子系统及对账平台上下链、权益实时到账</w:t>
      </w:r>
      <w:r>
        <w:rPr>
          <w:rFonts w:hint="eastAsia" w:ascii="宋体" w:hAnsi="宋体" w:cs="宋体"/>
          <w:b/>
          <w:bCs/>
          <w:szCs w:val="21"/>
          <w:lang w:val="en-US" w:eastAsia="zh-CN"/>
        </w:rPr>
        <w:t>服务</w:t>
      </w:r>
      <w:r>
        <w:rPr>
          <w:rFonts w:hint="eastAsia" w:ascii="宋体" w:hAnsi="宋体" w:cs="宋体"/>
          <w:b/>
          <w:bCs/>
          <w:szCs w:val="21"/>
        </w:rPr>
        <w:t>”、采购包3“社保费征收子系统上下链</w:t>
      </w:r>
      <w:r>
        <w:rPr>
          <w:rFonts w:hint="eastAsia" w:ascii="宋体" w:hAnsi="宋体" w:cs="宋体"/>
          <w:b/>
          <w:bCs/>
          <w:szCs w:val="21"/>
          <w:lang w:val="en-US" w:eastAsia="zh-CN"/>
        </w:rPr>
        <w:t>服务</w:t>
      </w:r>
      <w:r>
        <w:rPr>
          <w:rFonts w:hint="eastAsia" w:ascii="宋体" w:hAnsi="宋体" w:cs="宋体"/>
          <w:b/>
          <w:bCs/>
          <w:szCs w:val="21"/>
        </w:rPr>
        <w:t>”、采购包4“闽费通非税相关功能改造及上下链</w:t>
      </w:r>
      <w:r>
        <w:rPr>
          <w:rFonts w:hint="eastAsia" w:ascii="宋体" w:hAnsi="宋体" w:cs="宋体"/>
          <w:b/>
          <w:bCs/>
          <w:szCs w:val="21"/>
          <w:lang w:val="en-US" w:eastAsia="zh-CN"/>
        </w:rPr>
        <w:t>服务</w:t>
      </w:r>
      <w:r>
        <w:rPr>
          <w:rFonts w:hint="eastAsia" w:ascii="宋体" w:hAnsi="宋体" w:cs="宋体"/>
          <w:b/>
          <w:bCs/>
          <w:szCs w:val="21"/>
        </w:rPr>
        <w:t>”商务要求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1.</w:t>
      </w:r>
      <w:r>
        <w:rPr>
          <w:rFonts w:hint="eastAsia" w:ascii="宋体" w:hAnsi="宋体" w:cs="宋体"/>
          <w:szCs w:val="21"/>
          <w:lang w:val="en-GB"/>
        </w:rPr>
        <w:t>实施时间要求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中标人应按照采购人的要求，在合同签订后3个月内完成项目的需求分析及评审、概要设计及评审、详细设计及评审、软件开发、单元测试、集成测试、培训、上线运行等实施工作。</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2.</w:t>
      </w:r>
      <w:r>
        <w:rPr>
          <w:rFonts w:hint="eastAsia" w:ascii="宋体" w:hAnsi="宋体" w:cs="宋体"/>
          <w:szCs w:val="21"/>
          <w:lang w:val="en-GB"/>
        </w:rPr>
        <w:t>项目质量保障要求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中标人要确保福建省税务局</w:t>
      </w:r>
      <w:r>
        <w:rPr>
          <w:rFonts w:hint="eastAsia" w:ascii="宋体" w:hAnsi="宋体" w:cs="宋体"/>
          <w:szCs w:val="21"/>
        </w:rPr>
        <w:t>社保费（标准版）管理子系统、社保费（标准版）征收子系统、福建省电子税务局系统等</w:t>
      </w:r>
      <w:r>
        <w:rPr>
          <w:rFonts w:hint="eastAsia" w:ascii="宋体" w:hAnsi="宋体" w:cs="宋体"/>
          <w:szCs w:val="21"/>
          <w:lang w:val="en-GB"/>
        </w:rPr>
        <w:t>有关系统安全、稳定、可靠、高效地运行。</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中标人应保证其提供的所有软件为正版，并且具有在中国境内的合法使用权和用户保护权。</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中标人必须按照软件质量管理和质量保证体系，提出具体措施，确保应用软件开发质量。符合国家标准有关软件开发技术规范、软件文档管理和软件验收标准的要求。</w:t>
      </w:r>
    </w:p>
    <w:p>
      <w:pPr>
        <w:snapToGrid w:val="0"/>
        <w:spacing w:line="400" w:lineRule="exact"/>
        <w:ind w:firstLine="420" w:firstLineChars="200"/>
        <w:rPr>
          <w:rFonts w:hint="eastAsia" w:ascii="宋体" w:hAnsi="宋体" w:cs="宋体"/>
          <w:szCs w:val="21"/>
        </w:rPr>
      </w:pPr>
      <w:r>
        <w:rPr>
          <w:rFonts w:hint="eastAsia" w:ascii="宋体" w:hAnsi="宋体" w:cs="宋体"/>
          <w:szCs w:val="21"/>
        </w:rPr>
        <w:t>3.实施服务要求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（1）</w:t>
      </w:r>
      <w:r>
        <w:rPr>
          <w:rFonts w:hint="eastAsia" w:ascii="宋体" w:hAnsi="宋体" w:cs="宋体"/>
          <w:szCs w:val="21"/>
          <w:lang w:val="en-GB"/>
        </w:rPr>
        <w:t>本项目主要包括需求分析</w:t>
      </w:r>
      <w:r>
        <w:rPr>
          <w:rFonts w:hint="eastAsia" w:ascii="宋体" w:hAnsi="宋体" w:cs="宋体"/>
          <w:szCs w:val="21"/>
        </w:rPr>
        <w:t>及评审</w:t>
      </w:r>
      <w:r>
        <w:rPr>
          <w:rFonts w:hint="eastAsia" w:ascii="宋体" w:hAnsi="宋体" w:cs="宋体"/>
          <w:szCs w:val="21"/>
          <w:lang w:val="en-GB"/>
        </w:rPr>
        <w:t>、</w:t>
      </w:r>
      <w:r>
        <w:rPr>
          <w:rFonts w:hint="eastAsia" w:ascii="宋体" w:hAnsi="宋体" w:cs="宋体"/>
          <w:szCs w:val="21"/>
        </w:rPr>
        <w:t>概要设计及评审、详细设计及评审</w:t>
      </w:r>
      <w:r>
        <w:rPr>
          <w:rFonts w:hint="eastAsia" w:ascii="宋体" w:hAnsi="宋体" w:cs="宋体"/>
          <w:szCs w:val="21"/>
          <w:lang w:val="en-GB"/>
        </w:rPr>
        <w:t>、软件开发、</w:t>
      </w:r>
      <w:r>
        <w:rPr>
          <w:rFonts w:hint="eastAsia" w:ascii="宋体" w:hAnsi="宋体" w:cs="宋体"/>
          <w:szCs w:val="21"/>
        </w:rPr>
        <w:t>单元</w:t>
      </w:r>
      <w:r>
        <w:rPr>
          <w:rFonts w:hint="eastAsia" w:ascii="宋体" w:hAnsi="宋体" w:cs="宋体"/>
          <w:szCs w:val="21"/>
          <w:lang w:val="en-GB"/>
        </w:rPr>
        <w:t>测试、</w:t>
      </w:r>
      <w:r>
        <w:rPr>
          <w:rFonts w:hint="eastAsia" w:ascii="宋体" w:hAnsi="宋体" w:cs="宋体"/>
          <w:szCs w:val="21"/>
        </w:rPr>
        <w:t>集成测试、上线</w:t>
      </w:r>
      <w:r>
        <w:rPr>
          <w:rFonts w:hint="eastAsia" w:ascii="宋体" w:hAnsi="宋体" w:cs="宋体"/>
          <w:szCs w:val="21"/>
          <w:lang w:val="en-GB"/>
        </w:rPr>
        <w:t>、维保期维护等阶段，中标人应在要求时限内完成方案设计、详细设计和软件开发、测试，并配合采购人对数据进行验证测试。</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（2）</w:t>
      </w:r>
      <w:r>
        <w:rPr>
          <w:rFonts w:hint="eastAsia" w:ascii="宋体" w:hAnsi="宋体" w:cs="宋体"/>
          <w:szCs w:val="21"/>
          <w:lang w:val="en-GB"/>
        </w:rPr>
        <w:t>项目在软件开发完成后，应在测试验证过程中对程序进行修改完善。中标人应在采购人的组织下，配合做好技术支持和修改完善工作。若测试验证时无法满足招标文件要求，采购人有权要求延长测试验证时间。</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从测试验证开始，中标人应在采购人的配合下，做好采购人的业务和技术培训工作。</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（4）系统</w:t>
      </w:r>
      <w:r>
        <w:rPr>
          <w:rFonts w:hint="eastAsia" w:ascii="宋体" w:hAnsi="宋体" w:cs="宋体"/>
          <w:szCs w:val="21"/>
          <w:lang w:val="en-GB"/>
        </w:rPr>
        <w:t>维保期结束前遇到的各种小工作量软件变更需求：包括功能调整、问题改正、适应性修改、配置代码调整、小范围业务需求增加和</w:t>
      </w:r>
      <w:r>
        <w:rPr>
          <w:rFonts w:hint="eastAsia" w:ascii="宋体" w:hAnsi="宋体" w:cs="宋体"/>
          <w:szCs w:val="21"/>
        </w:rPr>
        <w:t>变更费用包含在合同总价内；遇到大工作量的软件变更需求，中标人应向采购人正式书面提出，协商处理。</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w:t>
      </w:r>
      <w:r>
        <w:rPr>
          <w:rFonts w:hint="eastAsia" w:ascii="宋体" w:hAnsi="宋体" w:cs="宋体"/>
          <w:szCs w:val="21"/>
          <w:lang w:val="en-GB"/>
        </w:rPr>
        <w:t>5</w:t>
      </w:r>
      <w:r>
        <w:rPr>
          <w:rFonts w:hint="eastAsia" w:ascii="宋体" w:hAnsi="宋体" w:cs="宋体"/>
          <w:szCs w:val="21"/>
        </w:rPr>
        <w:t>）</w:t>
      </w:r>
      <w:r>
        <w:rPr>
          <w:rFonts w:hint="eastAsia" w:ascii="宋体" w:hAnsi="宋体" w:cs="宋体"/>
          <w:szCs w:val="21"/>
          <w:lang w:val="en-GB"/>
        </w:rPr>
        <w:t>项目验收后，中标人应在采购人的配合下，组织好维保期维护工作。</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（6）</w:t>
      </w:r>
      <w:r>
        <w:rPr>
          <w:rFonts w:hint="eastAsia" w:ascii="宋体" w:hAnsi="宋体" w:cs="宋体"/>
          <w:szCs w:val="21"/>
          <w:lang w:val="en-GB"/>
        </w:rPr>
        <w:t>技术服务文档</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中标人应建立一套符合税务档案管理规程要求和相关法律法规要求的、标准的、可保存的、完整的、准确的并容易查阅的文档，能够满足确保相关系统正常管理、运营和维护所需的全套文件。</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中标人提交的技术资料，其内容必须与交付产品一致，采购人有权复制软件提供商提供的技术资料。相关技术资料包含但不限于下列内容：系统安装手册、详细设计说明书、用户使用手册、源代码等内容。</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4.</w:t>
      </w:r>
      <w:r>
        <w:rPr>
          <w:rFonts w:hint="eastAsia" w:ascii="宋体" w:hAnsi="宋体" w:cs="宋体"/>
          <w:szCs w:val="21"/>
          <w:lang w:val="en-GB"/>
        </w:rPr>
        <w:t>服务人员要求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必须为本项目建立独立的技术支持组织，其中包2应有不少于6名复合型人才（包含项目经理1人）、包3应有不少于1名复合型人才（包含项目经理1人）、包4应有不少于4名复合型人才（包含项目经理1人），并且要遵循福建省税务局的具体要求，接受招标方的监督与管理。该技术支持团队的组织架构和人员配置细节，包括分工安排及成员详细资料，都应当由中标单位提交。</w:t>
      </w:r>
    </w:p>
    <w:p>
      <w:pPr>
        <w:pStyle w:val="4"/>
        <w:ind w:firstLine="422" w:firstLineChars="200"/>
        <w:rPr>
          <w:rFonts w:hint="eastAsia"/>
          <w:lang w:val="en-GB"/>
        </w:rPr>
      </w:pPr>
      <w:r>
        <w:rPr>
          <w:rFonts w:hint="eastAsia"/>
          <w:b/>
          <w:bCs/>
          <w:sz w:val="21"/>
          <w:szCs w:val="21"/>
          <w:lang w:val="en-GB"/>
        </w:rPr>
        <w:t>中标人应选派专人担任项目经理，要求具备不少于5年的信息化建设工作经验，具有成功实施信息化项目的实际管理经验，熟悉行业情况。</w:t>
      </w:r>
      <w:r>
        <w:rPr>
          <w:rFonts w:hint="eastAsia"/>
          <w:b/>
          <w:bCs/>
          <w:sz w:val="21"/>
          <w:szCs w:val="21"/>
        </w:rPr>
        <w:t>采购包2、采购包3</w:t>
      </w:r>
      <w:r>
        <w:rPr>
          <w:rFonts w:hint="eastAsia"/>
          <w:b/>
          <w:bCs/>
          <w:sz w:val="21"/>
          <w:szCs w:val="21"/>
          <w:lang w:val="en-GB"/>
        </w:rPr>
        <w:t>其他开发人员要求本科及以上学历，三年及以上软件开发</w:t>
      </w:r>
      <w:r>
        <w:rPr>
          <w:rFonts w:hint="eastAsia"/>
          <w:b/>
          <w:bCs/>
          <w:sz w:val="21"/>
          <w:szCs w:val="21"/>
        </w:rPr>
        <w:t>或运维</w:t>
      </w:r>
      <w:r>
        <w:rPr>
          <w:rFonts w:hint="eastAsia"/>
          <w:b/>
          <w:bCs/>
          <w:sz w:val="21"/>
          <w:szCs w:val="21"/>
          <w:lang w:val="en-GB"/>
        </w:rPr>
        <w:t>经验。</w:t>
      </w:r>
      <w:r>
        <w:rPr>
          <w:rFonts w:hint="eastAsia"/>
          <w:b/>
          <w:bCs/>
          <w:sz w:val="21"/>
          <w:szCs w:val="21"/>
        </w:rPr>
        <w:t>投标</w:t>
      </w:r>
      <w:r>
        <w:rPr>
          <w:rFonts w:hint="eastAsia"/>
          <w:b/>
          <w:bCs/>
          <w:sz w:val="21"/>
          <w:szCs w:val="21"/>
          <w:lang w:val="en-GB"/>
        </w:rPr>
        <w:t>文件中需附人员名单、简历、该人员具有相应年限的开发或运维经验的证明材料、该人员在投标人单位不少于</w:t>
      </w:r>
      <w:r>
        <w:rPr>
          <w:rFonts w:hint="eastAsia"/>
          <w:b/>
          <w:bCs/>
          <w:sz w:val="21"/>
          <w:szCs w:val="21"/>
        </w:rPr>
        <w:t>1</w:t>
      </w:r>
      <w:r>
        <w:rPr>
          <w:rFonts w:hint="eastAsia"/>
          <w:b/>
          <w:bCs/>
          <w:sz w:val="21"/>
          <w:szCs w:val="21"/>
          <w:lang w:val="en-GB"/>
        </w:rPr>
        <w:t>个月的社保证明。该人员具有相应年限的开发或运维经验的证明材料包含：1、不限于与投标人签订的从事软件开发或运维等技术类岗位的劳动合同；2、用于计算在职时间的离职证明或在劳动合同所列单位的社保缴交证明。</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rPr>
        <w:t>5.</w:t>
      </w:r>
      <w:r>
        <w:rPr>
          <w:rFonts w:hint="eastAsia" w:ascii="宋体" w:hAnsi="宋体" w:cs="宋体"/>
          <w:szCs w:val="21"/>
          <w:lang w:val="en-GB"/>
        </w:rPr>
        <w:t>项目验收要求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（1）验收标准</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①交付项目应实现项目招标文件中规定的所有功能点，且功能正常、无缺陷。系统运行正常，具有较高的稳定性和可靠性，且能在异常情况下及时恢复和容错处理；中标人应配合采购人测试验证。</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②验收文档的完整性是验收标准之一。文档至少包括：业务需求及需求变更、源代码、应用系统设计说明书、数据库设计说明书、系统操作手册以及软件开发过程中形成的相关文件。中标人应对上述各类项目文档及时更新，规范管理，分类归档，最终统一移交给采购人，否则采购人有权拒绝接收，视为未移交工程文档，不予验收。</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③按照《中华人民共和国网络安全法》要求及税务总局应用系统网络安全审核相关要求，做到应用系统在规划立项、设计开发、部署上线和日常运行阶段的信息安全审核工作。中标人须在各个阶段完成总局和福建省税务局要求填报的应用系统安全审核表单等相关文档，每次验收之前未提交相关文档不予验收。</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（2）验收方法</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①初验：满足以下条件，经中标人申请，进入验收阶段：</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福建税务2024年税费业务场景区块链基础平台应用推广项目经采购人组织测试达上线条件，中标人组织系统上线实施并稳定运行一个月后，中标人向采购人申请初验，提交初验报告。初验合格后，无其他未了事宜，由双方共同签署初验报告，进入一年维保期（以初验报告签署日期开始计算维保期）。</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②整体验收：项目初验完成后，系统稳定运行三个月，中标人提交项目过程文档（业务需求及需求变更、源代码、应用系统设计说明书、数据库设计说明书、系统操作手册以及软件开发过程中形成的相关文件），并提交整体验收报告进行项目整体验收。</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 xml:space="preserve">  ③终验：一年维保期到期后，中标人向采购人申请终验，提交维保期服务工作报告。无其他未了事宜，由双方共同签署终验报告。</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6.其他要求</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1）中标人及其驻场实施人员须遵循采购人的各项规章制度。所接触的采购人各应用系统相关信息仅限于本人在本项目中使用，不得向他人泄露，更不得用于演示或宣传。发生信息泄露的，中标人和相关人员承担相应法律责任。</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2）投标人必须对其投标文件中提供各种资料、说明、承诺的真实性负责。采购人有权在评标过程中或签订合同之前对投标人投标文件中的各种资料、说明、承诺的真实性进行核查，投标人应无条件配合采购人的核查工作，不得托词拒绝核查或隐瞒真实情况。若在评标过程中，发现投标人有为谋取中标而提供虚假资料和承诺欺骗采购人和评委的行为，将按相关规定进行处理。若在中标后或执行合同过程中发现有为谋取中标而提供虚假资料和承诺欺骗采购人和评委的行为，采购人将取消其中标资格，给采购人造成损失的，还必须进行赔偿并负相关责任。</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3）投标人中标后，如果不按规定与采购人签订合同或者签订合同后不履行其投标承诺或者其它由于中标人自身原因造成无法履行合同的，均视为中标人违约，采购人将取消其中标资格，如果已经签订合同的则合同自动解除，中标人还要承担相应的法律责任，给采购人造成损失的，还必须进行赔偿。</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（4）受国家政策调整等原因的影响，招标文件所提交的业务需求可能会发生变更，中标人应在合同签订后，以采购人签字确认的业务需求为基准进行软件开发，该部分内容涉及的费用均包含在本次投标总价中。</w:t>
      </w:r>
    </w:p>
    <w:p>
      <w:pPr>
        <w:snapToGrid w:val="0"/>
        <w:spacing w:line="400" w:lineRule="exact"/>
        <w:ind w:firstLine="420" w:firstLineChars="200"/>
        <w:outlineLvl w:val="0"/>
        <w:rPr>
          <w:rFonts w:hint="eastAsia" w:ascii="宋体" w:hAnsi="宋体" w:cs="宋体"/>
          <w:b/>
          <w:bCs/>
          <w:szCs w:val="21"/>
        </w:rPr>
      </w:pPr>
      <w:r>
        <w:rPr>
          <w:rFonts w:ascii="Times New Roman" w:hAnsi="Times New Roman"/>
          <w:szCs w:val="21"/>
        </w:rPr>
        <w:t>★</w:t>
      </w:r>
      <w:r>
        <w:rPr>
          <w:rFonts w:hint="eastAsia" w:ascii="宋体" w:hAnsi="宋体" w:cs="宋体"/>
          <w:b/>
          <w:bCs/>
          <w:szCs w:val="21"/>
        </w:rPr>
        <w:t>五、违约责任（</w:t>
      </w:r>
      <w:r>
        <w:rPr>
          <w:rFonts w:hint="eastAsia" w:ascii="宋体" w:hAnsi="宋体" w:cs="宋体"/>
          <w:szCs w:val="21"/>
        </w:rPr>
        <w:t>适用采购包1、采购包2、采购包3、采购包4</w:t>
      </w:r>
      <w:r>
        <w:rPr>
          <w:rFonts w:hint="eastAsia" w:ascii="宋体" w:hAnsi="宋体" w:cs="宋体"/>
          <w:b/>
          <w:bCs/>
          <w:szCs w:val="21"/>
        </w:rPr>
        <w:t>）</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（一）未按期完工的违约责任</w:t>
      </w:r>
      <w:bookmarkEnd w:id="91"/>
      <w:bookmarkEnd w:id="92"/>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非采购人原因，如果中标人未能按规定的时间按时完工（不可抗力除外），各阶段工期每延误一天按合同总金额的1%支付违约金，采购人有权从当期应付合同款中予以扣除。此项违约金不超过合同金额的3%，当此项违约金超过合同金额的3%时，采购人有权解除合同，中标人应赔偿采购人所受的一切损失。</w:t>
      </w:r>
    </w:p>
    <w:p>
      <w:pPr>
        <w:snapToGrid w:val="0"/>
        <w:spacing w:line="400" w:lineRule="exact"/>
        <w:ind w:firstLine="420" w:firstLineChars="200"/>
        <w:outlineLvl w:val="1"/>
        <w:rPr>
          <w:rFonts w:hint="eastAsia" w:ascii="宋体" w:hAnsi="宋体" w:cs="宋体"/>
          <w:szCs w:val="21"/>
        </w:rPr>
      </w:pPr>
      <w:bookmarkStart w:id="93" w:name="_Toc1909718592"/>
      <w:bookmarkStart w:id="94" w:name="_Toc745307568"/>
      <w:r>
        <w:rPr>
          <w:rFonts w:hint="eastAsia" w:ascii="宋体" w:hAnsi="宋体" w:cs="宋体"/>
          <w:szCs w:val="21"/>
        </w:rPr>
        <w:t>（二）逾期付款的违约责任</w:t>
      </w:r>
      <w:bookmarkEnd w:id="93"/>
      <w:bookmarkEnd w:id="94"/>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采购人逾期付款的（有正当拒付理由的除外），采购人应向中标人支付未付款额的银行同期同等活期存款利息的违约金。</w:t>
      </w:r>
    </w:p>
    <w:p>
      <w:pPr>
        <w:snapToGrid w:val="0"/>
        <w:spacing w:line="400" w:lineRule="exact"/>
        <w:ind w:firstLine="420" w:firstLineChars="200"/>
        <w:outlineLvl w:val="1"/>
        <w:rPr>
          <w:rFonts w:hint="eastAsia" w:ascii="宋体" w:hAnsi="宋体" w:cs="宋体"/>
          <w:szCs w:val="21"/>
        </w:rPr>
      </w:pPr>
      <w:bookmarkStart w:id="95" w:name="_Toc718125729"/>
      <w:bookmarkStart w:id="96" w:name="_Toc1036379548"/>
      <w:r>
        <w:rPr>
          <w:rFonts w:hint="eastAsia" w:ascii="宋体" w:hAnsi="宋体" w:cs="宋体"/>
          <w:szCs w:val="21"/>
        </w:rPr>
        <w:t>（三）服务质量的违约责任</w:t>
      </w:r>
      <w:bookmarkEnd w:id="95"/>
      <w:bookmarkEnd w:id="96"/>
    </w:p>
    <w:p>
      <w:pPr>
        <w:snapToGrid w:val="0"/>
        <w:spacing w:line="400" w:lineRule="exact"/>
        <w:ind w:firstLine="420" w:firstLineChars="200"/>
        <w:rPr>
          <w:rFonts w:hint="eastAsia" w:ascii="宋体" w:hAnsi="宋体" w:cs="宋体"/>
          <w:szCs w:val="21"/>
        </w:rPr>
      </w:pPr>
      <w:r>
        <w:rPr>
          <w:rFonts w:hint="eastAsia" w:ascii="宋体" w:hAnsi="宋体" w:cs="宋体"/>
          <w:szCs w:val="21"/>
          <w:lang w:val="en-GB"/>
        </w:rPr>
        <w:t>系统推广后，由于中标人原因出现下述各类问题，中标人应承担违约责任，采购人将根据每次问题严重程度按照下表对应的扣</w:t>
      </w:r>
      <w:r>
        <w:rPr>
          <w:rFonts w:hint="eastAsia" w:ascii="宋体" w:hAnsi="宋体" w:cs="宋体"/>
          <w:szCs w:val="21"/>
        </w:rPr>
        <w:t>罚</w:t>
      </w:r>
      <w:r>
        <w:rPr>
          <w:rFonts w:hint="eastAsia" w:ascii="宋体" w:hAnsi="宋体" w:cs="宋体"/>
          <w:szCs w:val="21"/>
          <w:lang w:val="en-GB"/>
        </w:rPr>
        <w:t>金额从当期应付合同价款中扣除，</w:t>
      </w:r>
      <w:r>
        <w:rPr>
          <w:rFonts w:hint="eastAsia" w:ascii="宋体" w:hAnsi="宋体" w:cs="宋体"/>
          <w:szCs w:val="21"/>
        </w:rPr>
        <w:t>若</w:t>
      </w:r>
      <w:r>
        <w:rPr>
          <w:rFonts w:hint="eastAsia" w:ascii="宋体" w:hAnsi="宋体" w:cs="宋体"/>
          <w:szCs w:val="21"/>
          <w:lang w:val="en-GB"/>
        </w:rPr>
        <w:t>当期应付合同价款</w:t>
      </w:r>
      <w:r>
        <w:rPr>
          <w:rFonts w:hint="eastAsia" w:ascii="宋体" w:hAnsi="宋体" w:cs="宋体"/>
          <w:szCs w:val="21"/>
        </w:rPr>
        <w:t>低于扣罚金额的，按</w:t>
      </w:r>
      <w:r>
        <w:rPr>
          <w:rFonts w:hint="eastAsia" w:ascii="宋体" w:hAnsi="宋体" w:cs="宋体"/>
          <w:szCs w:val="21"/>
          <w:lang w:val="en-GB"/>
        </w:rPr>
        <w:t>当期应付合同价款</w:t>
      </w:r>
      <w:r>
        <w:rPr>
          <w:rFonts w:hint="eastAsia" w:ascii="宋体" w:hAnsi="宋体" w:cs="宋体"/>
          <w:szCs w:val="21"/>
        </w:rPr>
        <w:t>进行扣除。</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54"/>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Pr>
          <w:p>
            <w:pPr>
              <w:pStyle w:val="36"/>
              <w:spacing w:line="400" w:lineRule="exact"/>
              <w:ind w:firstLine="0" w:firstLineChars="0"/>
              <w:jc w:val="center"/>
              <w:rPr>
                <w:rFonts w:hint="eastAsia" w:ascii="宋体" w:hAnsi="宋体" w:cs="宋体"/>
                <w:b/>
                <w:snapToGrid w:val="0"/>
                <w:sz w:val="21"/>
                <w:szCs w:val="21"/>
                <w:lang w:val="en-US" w:eastAsia="zh-CN"/>
              </w:rPr>
            </w:pPr>
            <w:r>
              <w:rPr>
                <w:rFonts w:hint="eastAsia" w:ascii="宋体" w:hAnsi="宋体" w:cs="宋体"/>
                <w:b/>
                <w:snapToGrid w:val="0"/>
                <w:sz w:val="21"/>
                <w:szCs w:val="21"/>
                <w:lang w:val="en-US" w:eastAsia="zh-CN"/>
              </w:rPr>
              <w:t>问题级别</w:t>
            </w:r>
          </w:p>
        </w:tc>
        <w:tc>
          <w:tcPr>
            <w:tcW w:w="1354" w:type="dxa"/>
          </w:tcPr>
          <w:p>
            <w:pPr>
              <w:pStyle w:val="36"/>
              <w:spacing w:line="400" w:lineRule="exact"/>
              <w:ind w:firstLine="0" w:firstLineChars="0"/>
              <w:jc w:val="center"/>
              <w:rPr>
                <w:rFonts w:hint="eastAsia" w:ascii="宋体" w:hAnsi="宋体" w:cs="宋体"/>
                <w:b/>
                <w:snapToGrid w:val="0"/>
                <w:sz w:val="21"/>
                <w:szCs w:val="21"/>
                <w:lang w:val="en-US" w:eastAsia="zh-CN"/>
              </w:rPr>
            </w:pPr>
            <w:r>
              <w:rPr>
                <w:rFonts w:hint="eastAsia" w:ascii="宋体" w:hAnsi="宋体" w:cs="宋体"/>
                <w:b/>
                <w:snapToGrid w:val="0"/>
                <w:sz w:val="21"/>
                <w:szCs w:val="21"/>
                <w:lang w:val="en-US" w:eastAsia="zh-CN"/>
              </w:rPr>
              <w:t>扣罚金额</w:t>
            </w:r>
          </w:p>
        </w:tc>
        <w:tc>
          <w:tcPr>
            <w:tcW w:w="5336" w:type="dxa"/>
          </w:tcPr>
          <w:p>
            <w:pPr>
              <w:pStyle w:val="36"/>
              <w:spacing w:line="400" w:lineRule="exact"/>
              <w:ind w:firstLine="0" w:firstLineChars="0"/>
              <w:jc w:val="center"/>
              <w:rPr>
                <w:rFonts w:hint="eastAsia" w:ascii="宋体" w:hAnsi="宋体" w:cs="宋体"/>
                <w:b/>
                <w:snapToGrid w:val="0"/>
                <w:sz w:val="21"/>
                <w:szCs w:val="21"/>
                <w:lang w:val="en-US" w:eastAsia="zh-CN"/>
              </w:rPr>
            </w:pPr>
            <w:r>
              <w:rPr>
                <w:rFonts w:hint="eastAsia" w:ascii="宋体" w:hAnsi="宋体" w:cs="宋体"/>
                <w:b/>
                <w:snapToGrid w:val="0"/>
                <w:sz w:val="21"/>
                <w:szCs w:val="21"/>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10" w:type="dxa"/>
            <w:vMerge w:val="restart"/>
            <w:vAlign w:val="center"/>
          </w:tcPr>
          <w:p>
            <w:pPr>
              <w:pStyle w:val="36"/>
              <w:spacing w:line="400" w:lineRule="exact"/>
              <w:ind w:firstLine="0" w:firstLineChars="0"/>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一级</w:t>
            </w:r>
          </w:p>
        </w:tc>
        <w:tc>
          <w:tcPr>
            <w:tcW w:w="1354" w:type="dxa"/>
            <w:vMerge w:val="restart"/>
            <w:vAlign w:val="center"/>
          </w:tcPr>
          <w:p>
            <w:pPr>
              <w:pStyle w:val="36"/>
              <w:spacing w:line="400" w:lineRule="exact"/>
              <w:ind w:firstLine="200" w:firstLineChars="0"/>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20万元</w:t>
            </w: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由于中标人原因导致系统瘫痪，或导致业务无法开展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由于中标人原因导致系统性能严重下降，致使业务无法正常开展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由于中标人原因导致重要数据丢失的，或引致严重数据逻辑错误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中标人严重违反安全、保密管理规定（如专网、外网未物理隔离，未经授权拷贝、移交保密数据等情况）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由于中标人原因导致采购人绩效被总局扣分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中标人对紧急故障处理的服务响应时限未达要求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10" w:type="dxa"/>
            <w:vMerge w:val="restart"/>
            <w:vAlign w:val="center"/>
          </w:tcPr>
          <w:p>
            <w:pPr>
              <w:pStyle w:val="36"/>
              <w:spacing w:line="400" w:lineRule="exact"/>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二级</w:t>
            </w:r>
          </w:p>
        </w:tc>
        <w:tc>
          <w:tcPr>
            <w:tcW w:w="1354" w:type="dxa"/>
            <w:vMerge w:val="restart"/>
            <w:vAlign w:val="center"/>
          </w:tcPr>
          <w:p>
            <w:pPr>
              <w:pStyle w:val="36"/>
              <w:spacing w:line="400" w:lineRule="exact"/>
              <w:ind w:firstLine="200" w:firstLineChars="0"/>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5万元</w:t>
            </w: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由于中标人原因导致系统部分故障，业务系统仍然可以工作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由于中标人原因导致系统版本未及时升级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10"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1354" w:type="dxa"/>
            <w:vMerge w:val="continue"/>
            <w:vAlign w:val="center"/>
          </w:tcPr>
          <w:p>
            <w:pPr>
              <w:pStyle w:val="36"/>
              <w:spacing w:line="400" w:lineRule="exact"/>
              <w:jc w:val="center"/>
              <w:rPr>
                <w:rFonts w:hint="eastAsia" w:ascii="宋体" w:hAnsi="宋体" w:cs="宋体"/>
                <w:snapToGrid w:val="0"/>
                <w:sz w:val="21"/>
                <w:szCs w:val="21"/>
                <w:lang w:val="en-US" w:eastAsia="zh-CN"/>
              </w:rPr>
            </w:pP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中标人对非紧急故障处理的服务响应时限未达要求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10" w:type="dxa"/>
            <w:vMerge w:val="restart"/>
            <w:vAlign w:val="center"/>
          </w:tcPr>
          <w:p>
            <w:pPr>
              <w:pStyle w:val="36"/>
              <w:spacing w:line="400" w:lineRule="exact"/>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三级</w:t>
            </w:r>
          </w:p>
        </w:tc>
        <w:tc>
          <w:tcPr>
            <w:tcW w:w="1354" w:type="dxa"/>
            <w:vMerge w:val="restart"/>
            <w:vAlign w:val="center"/>
          </w:tcPr>
          <w:p>
            <w:pPr>
              <w:pStyle w:val="36"/>
              <w:spacing w:line="400" w:lineRule="exact"/>
              <w:ind w:firstLine="200" w:firstLineChars="0"/>
              <w:jc w:val="center"/>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5千元</w:t>
            </w:r>
          </w:p>
        </w:tc>
        <w:tc>
          <w:tcPr>
            <w:tcW w:w="5336" w:type="dxa"/>
          </w:tcPr>
          <w:p>
            <w:pPr>
              <w:pStyle w:val="36"/>
              <w:spacing w:line="400" w:lineRule="exact"/>
              <w:ind w:firstLine="0" w:firstLineChars="0"/>
              <w:rPr>
                <w:rFonts w:hint="eastAsia" w:ascii="宋体" w:hAnsi="宋体" w:cs="宋体"/>
                <w:snapToGrid w:val="0"/>
                <w:sz w:val="21"/>
                <w:szCs w:val="21"/>
                <w:lang w:val="en-US" w:eastAsia="zh-CN"/>
              </w:rPr>
            </w:pPr>
            <w:r>
              <w:rPr>
                <w:rFonts w:hint="eastAsia" w:ascii="宋体" w:hAnsi="宋体" w:cs="宋体"/>
                <w:snapToGrid w:val="0"/>
                <w:sz w:val="21"/>
                <w:szCs w:val="21"/>
                <w:lang w:val="en-US" w:eastAsia="zh-CN"/>
              </w:rPr>
              <w:t>由于中标人原因引起系统问题，导致系统性能下降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0" w:type="dxa"/>
            <w:vMerge w:val="continue"/>
          </w:tcPr>
          <w:p>
            <w:pPr>
              <w:pStyle w:val="36"/>
              <w:spacing w:line="400" w:lineRule="exact"/>
              <w:rPr>
                <w:rFonts w:hint="eastAsia" w:ascii="宋体" w:hAnsi="宋体" w:cs="宋体"/>
                <w:snapToGrid w:val="0"/>
                <w:sz w:val="21"/>
                <w:szCs w:val="21"/>
                <w:lang w:val="en-US" w:eastAsia="zh-CN"/>
              </w:rPr>
            </w:pPr>
          </w:p>
        </w:tc>
        <w:tc>
          <w:tcPr>
            <w:tcW w:w="1354" w:type="dxa"/>
            <w:vMerge w:val="continue"/>
          </w:tcPr>
          <w:p>
            <w:pPr>
              <w:pStyle w:val="36"/>
              <w:spacing w:line="400" w:lineRule="exact"/>
              <w:rPr>
                <w:rFonts w:hint="eastAsia" w:ascii="宋体" w:hAnsi="宋体" w:cs="宋体"/>
                <w:snapToGrid w:val="0"/>
                <w:sz w:val="21"/>
                <w:szCs w:val="21"/>
                <w:lang w:val="en-US" w:eastAsia="zh-CN"/>
              </w:rPr>
            </w:pPr>
          </w:p>
        </w:tc>
        <w:tc>
          <w:tcPr>
            <w:tcW w:w="5336" w:type="dxa"/>
          </w:tcPr>
          <w:p>
            <w:pPr>
              <w:spacing w:line="400" w:lineRule="exact"/>
              <w:rPr>
                <w:rFonts w:hint="eastAsia" w:ascii="宋体" w:hAnsi="宋体" w:cs="宋体"/>
                <w:szCs w:val="21"/>
              </w:rPr>
            </w:pPr>
            <w:r>
              <w:rPr>
                <w:rFonts w:hint="eastAsia" w:ascii="宋体" w:hAnsi="宋体" w:cs="宋体"/>
                <w:szCs w:val="21"/>
              </w:rPr>
              <w:t>中标人人员违反日常工作管理规定</w:t>
            </w:r>
          </w:p>
        </w:tc>
      </w:tr>
    </w:tbl>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由于中标人原因造成的系统故障和服务问题致使采购人及纳税人、代扣代缴人、缴费人遭受损失的，中标人还应承担相应的赔偿责任。</w:t>
      </w:r>
    </w:p>
    <w:p>
      <w:pPr>
        <w:snapToGrid w:val="0"/>
        <w:spacing w:line="400" w:lineRule="exact"/>
        <w:ind w:firstLine="420" w:firstLineChars="200"/>
        <w:outlineLvl w:val="1"/>
        <w:rPr>
          <w:rFonts w:hint="eastAsia" w:ascii="宋体" w:hAnsi="宋体" w:cs="宋体"/>
          <w:szCs w:val="21"/>
        </w:rPr>
      </w:pPr>
      <w:bookmarkStart w:id="97" w:name="_Toc1855282071"/>
      <w:bookmarkStart w:id="98" w:name="_Toc444248470"/>
      <w:r>
        <w:rPr>
          <w:rFonts w:hint="eastAsia" w:ascii="宋体" w:hAnsi="宋体" w:cs="宋体"/>
          <w:szCs w:val="21"/>
        </w:rPr>
        <w:t>（四）人力资源保障的违约责任</w:t>
      </w:r>
      <w:bookmarkEnd w:id="97"/>
      <w:bookmarkEnd w:id="98"/>
    </w:p>
    <w:p>
      <w:pPr>
        <w:spacing w:line="400" w:lineRule="exact"/>
        <w:ind w:firstLine="420" w:firstLineChars="200"/>
        <w:jc w:val="left"/>
        <w:rPr>
          <w:rFonts w:hint="eastAsia" w:ascii="宋体" w:hAnsi="宋体" w:cs="宋体"/>
          <w:szCs w:val="21"/>
        </w:rPr>
      </w:pPr>
      <w:r>
        <w:rPr>
          <w:rFonts w:hint="eastAsia" w:ascii="宋体" w:hAnsi="宋体" w:cs="宋体"/>
          <w:szCs w:val="21"/>
        </w:rPr>
        <w:t>在项目实施和维护期间的中标人实施服务团队骨干人员变化必须经过采购人同意，否则视同违约，采购人可以无条件地按每人（采购包1、采购包2：5万元，采购包3、采购包4：2万元）的标准在当期应付合同价款中扣除。</w:t>
      </w:r>
    </w:p>
    <w:p>
      <w:pPr>
        <w:snapToGrid w:val="0"/>
        <w:spacing w:line="400" w:lineRule="exact"/>
        <w:ind w:firstLine="420" w:firstLineChars="200"/>
        <w:outlineLvl w:val="1"/>
        <w:rPr>
          <w:rFonts w:hint="eastAsia" w:ascii="宋体" w:hAnsi="宋体" w:cs="宋体"/>
          <w:szCs w:val="21"/>
        </w:rPr>
      </w:pPr>
      <w:r>
        <w:rPr>
          <w:rFonts w:hint="eastAsia" w:ascii="宋体" w:hAnsi="宋体" w:cs="宋体"/>
          <w:szCs w:val="21"/>
        </w:rPr>
        <w:t>（五）其他违约责任</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中标人不得另行开发合同业务需求范围内、供纳税人缴费人使用的软件，违反本条款的，将纳入失信名单，3年内不得参与税务系统政府采购活动。</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中标人如违反网络安全规定行为造成不良后果，3年内不得参加税务系统政府采购活动。</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中标人应建立防止违法违规聘用离职税务人员风险控制制度，如出现违法违规聘用离职税务人员行为，采购人有权采取以下措施：包括要求限期改正、要求支付违约金、解除合同、3年内限制参加所聘人员原单位及下属单位信息化项目政府采购活动等。</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在合同履行期间中标人不得采用馈赠礼品礼金、邀请娱乐消费等方式“围猎”税务人员，违反本条款的，中标人将被纳入失信名单，3年内不得参与税务系统政府采购活动。</w:t>
      </w:r>
    </w:p>
    <w:p>
      <w:pPr>
        <w:snapToGrid w:val="0"/>
        <w:spacing w:line="400" w:lineRule="exact"/>
        <w:ind w:firstLine="420" w:firstLineChars="200"/>
        <w:outlineLvl w:val="0"/>
        <w:rPr>
          <w:rFonts w:hint="eastAsia" w:ascii="宋体" w:hAnsi="宋体" w:cs="宋体"/>
          <w:b/>
          <w:bCs/>
          <w:szCs w:val="21"/>
        </w:rPr>
      </w:pPr>
      <w:r>
        <w:rPr>
          <w:rFonts w:ascii="Times New Roman" w:hAnsi="Times New Roman"/>
          <w:szCs w:val="21"/>
        </w:rPr>
        <w:t>★</w:t>
      </w:r>
      <w:r>
        <w:rPr>
          <w:rFonts w:hint="eastAsia" w:ascii="宋体" w:hAnsi="宋体" w:cs="宋体"/>
          <w:b/>
          <w:bCs/>
          <w:szCs w:val="21"/>
        </w:rPr>
        <w:t>六、付款方式</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项目分三次付款（</w:t>
      </w:r>
      <w:r>
        <w:rPr>
          <w:rFonts w:hint="eastAsia" w:ascii="宋体" w:hAnsi="宋体" w:cs="宋体"/>
          <w:szCs w:val="21"/>
        </w:rPr>
        <w:t>适用采购包1、采购包2、采购包3、采购包4</w:t>
      </w:r>
      <w:r>
        <w:rPr>
          <w:rFonts w:hint="eastAsia" w:ascii="宋体" w:hAnsi="宋体" w:cs="宋体"/>
          <w:szCs w:val="21"/>
          <w:lang w:val="en-GB"/>
        </w:rPr>
        <w:t>）：</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第一次付款：税务区块链基础平台推广上线实施完成并稳定运行一个月，经验收通过且</w:t>
      </w:r>
      <w:r>
        <w:rPr>
          <w:rFonts w:hint="eastAsia" w:ascii="宋体" w:hAnsi="宋体" w:cs="宋体"/>
          <w:szCs w:val="21"/>
        </w:rPr>
        <w:t>采购人</w:t>
      </w:r>
      <w:r>
        <w:rPr>
          <w:rFonts w:hint="eastAsia" w:ascii="宋体" w:hAnsi="宋体" w:cs="宋体"/>
          <w:szCs w:val="21"/>
          <w:lang w:val="en-GB"/>
        </w:rPr>
        <w:t>在收到</w:t>
      </w:r>
      <w:r>
        <w:rPr>
          <w:rFonts w:hint="eastAsia" w:ascii="宋体" w:hAnsi="宋体" w:cs="宋体"/>
          <w:szCs w:val="21"/>
        </w:rPr>
        <w:t>中标人</w:t>
      </w:r>
      <w:r>
        <w:rPr>
          <w:rFonts w:hint="eastAsia" w:ascii="宋体" w:hAnsi="宋体" w:cs="宋体"/>
          <w:szCs w:val="21"/>
          <w:lang w:val="en-GB"/>
        </w:rPr>
        <w:t>开具等额的正式发票后二十个工作日支付合同金额40%。</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第二次付款：税务区块链基础平台推广上线实施完成并稳定运行三个月，经验收通过且</w:t>
      </w:r>
      <w:r>
        <w:rPr>
          <w:rFonts w:hint="eastAsia" w:ascii="宋体" w:hAnsi="宋体" w:cs="宋体"/>
          <w:szCs w:val="21"/>
        </w:rPr>
        <w:t>采购人</w:t>
      </w:r>
      <w:r>
        <w:rPr>
          <w:rFonts w:hint="eastAsia" w:ascii="宋体" w:hAnsi="宋体" w:cs="宋体"/>
          <w:szCs w:val="21"/>
          <w:lang w:val="en-GB"/>
        </w:rPr>
        <w:t>在收到</w:t>
      </w:r>
      <w:r>
        <w:rPr>
          <w:rFonts w:hint="eastAsia" w:ascii="宋体" w:hAnsi="宋体" w:cs="宋体"/>
          <w:szCs w:val="21"/>
        </w:rPr>
        <w:t>中标人</w:t>
      </w:r>
      <w:r>
        <w:rPr>
          <w:rFonts w:hint="eastAsia" w:ascii="宋体" w:hAnsi="宋体" w:cs="宋体"/>
          <w:szCs w:val="21"/>
          <w:lang w:val="en-GB"/>
        </w:rPr>
        <w:t>开具等额的正式发票后二十个工作日支付合同金额40%。</w:t>
      </w:r>
    </w:p>
    <w:p>
      <w:pPr>
        <w:snapToGrid w:val="0"/>
        <w:spacing w:line="400" w:lineRule="exact"/>
        <w:ind w:firstLine="420" w:firstLineChars="200"/>
        <w:rPr>
          <w:rFonts w:hint="eastAsia" w:ascii="宋体" w:hAnsi="宋体" w:cs="宋体"/>
          <w:szCs w:val="21"/>
          <w:lang w:val="en-GB"/>
        </w:rPr>
      </w:pPr>
      <w:r>
        <w:rPr>
          <w:rFonts w:hint="eastAsia" w:ascii="宋体" w:hAnsi="宋体" w:cs="宋体"/>
          <w:szCs w:val="21"/>
          <w:lang w:val="en-GB"/>
        </w:rPr>
        <w:t>第三次付款：税务区块链基础平台推广上线实施完成</w:t>
      </w:r>
      <w:r>
        <w:rPr>
          <w:rFonts w:hint="eastAsia" w:ascii="宋体" w:hAnsi="宋体" w:cs="宋体"/>
          <w:szCs w:val="21"/>
        </w:rPr>
        <w:t>且一年维保期到期后</w:t>
      </w:r>
      <w:r>
        <w:rPr>
          <w:rFonts w:hint="eastAsia" w:ascii="宋体" w:hAnsi="宋体" w:cs="宋体"/>
          <w:szCs w:val="21"/>
          <w:lang w:val="en-GB"/>
        </w:rPr>
        <w:t>，</w:t>
      </w:r>
      <w:r>
        <w:rPr>
          <w:rFonts w:hint="eastAsia" w:ascii="宋体" w:hAnsi="宋体" w:cs="宋体"/>
          <w:szCs w:val="21"/>
        </w:rPr>
        <w:t>采购人</w:t>
      </w:r>
      <w:r>
        <w:rPr>
          <w:rFonts w:hint="eastAsia" w:ascii="宋体" w:hAnsi="宋体" w:cs="宋体"/>
          <w:szCs w:val="21"/>
          <w:lang w:val="en-GB"/>
        </w:rPr>
        <w:t>在收到</w:t>
      </w:r>
      <w:r>
        <w:rPr>
          <w:rFonts w:hint="eastAsia" w:ascii="宋体" w:hAnsi="宋体" w:cs="宋体"/>
          <w:szCs w:val="21"/>
        </w:rPr>
        <w:t>中标人</w:t>
      </w:r>
      <w:r>
        <w:rPr>
          <w:rFonts w:hint="eastAsia" w:ascii="宋体" w:hAnsi="宋体" w:cs="宋体"/>
          <w:szCs w:val="21"/>
          <w:lang w:val="en-GB"/>
        </w:rPr>
        <w:t>开具等额的正式发票后二十个工作日支付合同金额20%。</w:t>
      </w:r>
    </w:p>
    <w:p>
      <w:pPr>
        <w:snapToGrid w:val="0"/>
        <w:spacing w:line="400" w:lineRule="exact"/>
        <w:ind w:firstLine="420" w:firstLineChars="200"/>
        <w:rPr>
          <w:rFonts w:hint="eastAsia" w:ascii="宋体" w:hAnsi="宋体" w:cs="宋体"/>
          <w:szCs w:val="21"/>
        </w:rPr>
      </w:pPr>
      <w:r>
        <w:rPr>
          <w:rFonts w:hint="eastAsia" w:ascii="宋体" w:hAnsi="宋体" w:cs="宋体"/>
          <w:szCs w:val="21"/>
        </w:rPr>
        <w:t>注：采购人向中标人支付每笔款项时，中标人均应向采购人提供付款申请及由中标人开具的等额的国家法定发票。</w:t>
      </w:r>
    </w:p>
    <w:p>
      <w:pPr>
        <w:pStyle w:val="20"/>
        <w:rPr>
          <w:rFonts w:hint="eastAsia" w:ascii="宋体" w:hAnsi="宋体" w:eastAsia="宋体"/>
          <w:szCs w:val="21"/>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MetaPlusLF">
    <w:altName w:val="Times New Roman"/>
    <w:panose1 w:val="00000000000000000000"/>
    <w:charset w:val="00"/>
    <w:family w:val="auto"/>
    <w:pitch w:val="default"/>
    <w:sig w:usb0="00000000" w:usb1="00000000" w:usb2="00000000" w:usb3="00000000" w:csb0="00000097"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sz w:val="24"/>
      </w:rPr>
    </w:pPr>
    <w:r>
      <w:rPr>
        <w:rFonts w:hint="eastAsia"/>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33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7"/>
      </w:rPr>
    </w:pPr>
    <w:r>
      <w:fldChar w:fldCharType="begin"/>
    </w:r>
    <w:r>
      <w:rPr>
        <w:rStyle w:val="27"/>
        <w:rFonts w:ascii="Times New Roman" w:hAnsi="Times New Roman"/>
      </w:rPr>
      <w:instrText xml:space="preserve">PAGE  </w:instrText>
    </w:r>
    <w:r>
      <w:fldChar w:fldCharType="end"/>
    </w:r>
  </w:p>
  <w:p>
    <w:pPr>
      <w:pStyle w:val="13"/>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sz w:val="24"/>
      </w:rPr>
    </w:pPr>
    <w:r>
      <w:rPr>
        <w:rFonts w:hint="eastAsia"/>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38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82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82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E551E"/>
    <w:multiLevelType w:val="singleLevel"/>
    <w:tmpl w:val="9B6E551E"/>
    <w:lvl w:ilvl="0" w:tentative="0">
      <w:start w:val="1"/>
      <w:numFmt w:val="chineseCounting"/>
      <w:suff w:val="nothing"/>
      <w:lvlText w:val="%1、"/>
      <w:lvlJc w:val="left"/>
      <w:rPr>
        <w:rFonts w:hint="eastAsia"/>
      </w:rPr>
    </w:lvl>
  </w:abstractNum>
  <w:abstractNum w:abstractNumId="1">
    <w:nsid w:val="CCAC013E"/>
    <w:multiLevelType w:val="singleLevel"/>
    <w:tmpl w:val="CCAC013E"/>
    <w:lvl w:ilvl="0" w:tentative="0">
      <w:start w:val="6"/>
      <w:numFmt w:val="chineseCounting"/>
      <w:suff w:val="nothing"/>
      <w:lvlText w:val="%1、"/>
      <w:lvlJc w:val="left"/>
      <w:rPr>
        <w:rFonts w:hint="eastAsia"/>
      </w:rPr>
    </w:lvl>
  </w:abstractNum>
  <w:abstractNum w:abstractNumId="2">
    <w:nsid w:val="CDCA569A"/>
    <w:multiLevelType w:val="singleLevel"/>
    <w:tmpl w:val="CDCA569A"/>
    <w:lvl w:ilvl="0" w:tentative="0">
      <w:start w:val="1"/>
      <w:numFmt w:val="decimal"/>
      <w:pStyle w:val="2"/>
      <w:lvlText w:val="%1."/>
      <w:lvlJc w:val="left"/>
      <w:pPr>
        <w:tabs>
          <w:tab w:val="left" w:pos="780"/>
        </w:tabs>
        <w:ind w:left="780" w:hanging="360"/>
      </w:pPr>
    </w:lvl>
  </w:abstractNum>
  <w:abstractNum w:abstractNumId="3">
    <w:nsid w:val="0DBB57BE"/>
    <w:multiLevelType w:val="singleLevel"/>
    <w:tmpl w:val="0DBB57BE"/>
    <w:lvl w:ilvl="0" w:tentative="0">
      <w:start w:val="1"/>
      <w:numFmt w:val="decimal"/>
      <w:pStyle w:val="3"/>
      <w:lvlText w:val="%1."/>
      <w:lvlJc w:val="left"/>
      <w:pPr>
        <w:tabs>
          <w:tab w:val="left" w:pos="780"/>
        </w:tabs>
        <w:ind w:left="780" w:hanging="360"/>
      </w:pPr>
    </w:lvl>
  </w:abstractNum>
  <w:abstractNum w:abstractNumId="4">
    <w:nsid w:val="48DD8150"/>
    <w:multiLevelType w:val="singleLevel"/>
    <w:tmpl w:val="48DD815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GJhN2M0MjI4NDBmZTU4YWZiNGM3ZDcyOTY4NDAifQ=="/>
    <w:docVar w:name="KSO_WPS_MARK_KEY" w:val="w:docVa"/>
  </w:docVars>
  <w:rsids>
    <w:rsidRoot w:val="007E674F"/>
    <w:rsid w:val="005317E7"/>
    <w:rsid w:val="005334BE"/>
    <w:rsid w:val="0066338C"/>
    <w:rsid w:val="007A19A0"/>
    <w:rsid w:val="007A676C"/>
    <w:rsid w:val="007E674F"/>
    <w:rsid w:val="007F4755"/>
    <w:rsid w:val="008E7C76"/>
    <w:rsid w:val="00903179"/>
    <w:rsid w:val="00BF4D5D"/>
    <w:rsid w:val="00E53232"/>
    <w:rsid w:val="00F578C5"/>
    <w:rsid w:val="019843E6"/>
    <w:rsid w:val="01AD1052"/>
    <w:rsid w:val="01B21B90"/>
    <w:rsid w:val="01BF386B"/>
    <w:rsid w:val="01C012ED"/>
    <w:rsid w:val="01FE3698"/>
    <w:rsid w:val="023C66B8"/>
    <w:rsid w:val="024A1251"/>
    <w:rsid w:val="02BD75DA"/>
    <w:rsid w:val="0304067F"/>
    <w:rsid w:val="033B341F"/>
    <w:rsid w:val="03500937"/>
    <w:rsid w:val="03581306"/>
    <w:rsid w:val="03C21D37"/>
    <w:rsid w:val="03E62B7C"/>
    <w:rsid w:val="040C0EB2"/>
    <w:rsid w:val="04502CC3"/>
    <w:rsid w:val="046A2F89"/>
    <w:rsid w:val="04A03924"/>
    <w:rsid w:val="04D45EF3"/>
    <w:rsid w:val="05610E93"/>
    <w:rsid w:val="05644C43"/>
    <w:rsid w:val="057F0D93"/>
    <w:rsid w:val="060C69B2"/>
    <w:rsid w:val="060F2843"/>
    <w:rsid w:val="067A44AE"/>
    <w:rsid w:val="0747037F"/>
    <w:rsid w:val="07483BF5"/>
    <w:rsid w:val="07A25DD3"/>
    <w:rsid w:val="07C33381"/>
    <w:rsid w:val="07D7113E"/>
    <w:rsid w:val="07FD79D6"/>
    <w:rsid w:val="089A1545"/>
    <w:rsid w:val="08A51783"/>
    <w:rsid w:val="08D07B67"/>
    <w:rsid w:val="096F37EA"/>
    <w:rsid w:val="099B68C7"/>
    <w:rsid w:val="099E2C10"/>
    <w:rsid w:val="09E244F6"/>
    <w:rsid w:val="0A1977EC"/>
    <w:rsid w:val="0A1E28E6"/>
    <w:rsid w:val="0A247CC6"/>
    <w:rsid w:val="0A5A32F8"/>
    <w:rsid w:val="0AD9321A"/>
    <w:rsid w:val="0BC12EA6"/>
    <w:rsid w:val="0BE1520A"/>
    <w:rsid w:val="0BF16C73"/>
    <w:rsid w:val="0C051F47"/>
    <w:rsid w:val="0C6C00A7"/>
    <w:rsid w:val="0CD12914"/>
    <w:rsid w:val="0CE00894"/>
    <w:rsid w:val="0D134413"/>
    <w:rsid w:val="0D6C3BFB"/>
    <w:rsid w:val="0D8633EB"/>
    <w:rsid w:val="0D8B55C6"/>
    <w:rsid w:val="0DFD2082"/>
    <w:rsid w:val="0E1909D5"/>
    <w:rsid w:val="0E312440"/>
    <w:rsid w:val="0E440BB0"/>
    <w:rsid w:val="0F333F2E"/>
    <w:rsid w:val="0F5D63CD"/>
    <w:rsid w:val="0F721BE3"/>
    <w:rsid w:val="101739F6"/>
    <w:rsid w:val="105F0804"/>
    <w:rsid w:val="10D20F4E"/>
    <w:rsid w:val="10D604F0"/>
    <w:rsid w:val="10E12347"/>
    <w:rsid w:val="11357028"/>
    <w:rsid w:val="116705E6"/>
    <w:rsid w:val="118151C6"/>
    <w:rsid w:val="118B20E5"/>
    <w:rsid w:val="11965BC6"/>
    <w:rsid w:val="11BC15E4"/>
    <w:rsid w:val="12394975"/>
    <w:rsid w:val="12887F77"/>
    <w:rsid w:val="12DD201F"/>
    <w:rsid w:val="13183FE3"/>
    <w:rsid w:val="1377012A"/>
    <w:rsid w:val="137F458D"/>
    <w:rsid w:val="138A301D"/>
    <w:rsid w:val="13920CCD"/>
    <w:rsid w:val="13A25B80"/>
    <w:rsid w:val="13B363E0"/>
    <w:rsid w:val="141561C5"/>
    <w:rsid w:val="141C258C"/>
    <w:rsid w:val="144B565A"/>
    <w:rsid w:val="146D1091"/>
    <w:rsid w:val="149D6A53"/>
    <w:rsid w:val="14CA62B3"/>
    <w:rsid w:val="14E05B4D"/>
    <w:rsid w:val="14F86A77"/>
    <w:rsid w:val="14FA66F7"/>
    <w:rsid w:val="15262A3E"/>
    <w:rsid w:val="15842DD8"/>
    <w:rsid w:val="1588725F"/>
    <w:rsid w:val="15EE0289"/>
    <w:rsid w:val="15F80BFE"/>
    <w:rsid w:val="163504CD"/>
    <w:rsid w:val="16951D1B"/>
    <w:rsid w:val="169F00AC"/>
    <w:rsid w:val="16F13805"/>
    <w:rsid w:val="17026ACC"/>
    <w:rsid w:val="17096457"/>
    <w:rsid w:val="170F3B57"/>
    <w:rsid w:val="173160BF"/>
    <w:rsid w:val="17363AA3"/>
    <w:rsid w:val="174C248B"/>
    <w:rsid w:val="176C06FA"/>
    <w:rsid w:val="17716EB9"/>
    <w:rsid w:val="17C074F9"/>
    <w:rsid w:val="17E86A50"/>
    <w:rsid w:val="185B1070"/>
    <w:rsid w:val="19501AC2"/>
    <w:rsid w:val="1986426C"/>
    <w:rsid w:val="19AD1853"/>
    <w:rsid w:val="1A1530EE"/>
    <w:rsid w:val="1A7016AA"/>
    <w:rsid w:val="1A927E8F"/>
    <w:rsid w:val="1B5A0CF0"/>
    <w:rsid w:val="1B723200"/>
    <w:rsid w:val="1BA266D9"/>
    <w:rsid w:val="1BFE7442"/>
    <w:rsid w:val="1C085BDC"/>
    <w:rsid w:val="1C57790E"/>
    <w:rsid w:val="1C707458"/>
    <w:rsid w:val="1C744CBF"/>
    <w:rsid w:val="1C7C5803"/>
    <w:rsid w:val="1C812CD0"/>
    <w:rsid w:val="1D48246B"/>
    <w:rsid w:val="1D505927"/>
    <w:rsid w:val="1D6951CC"/>
    <w:rsid w:val="1D7A76D0"/>
    <w:rsid w:val="1DA962DF"/>
    <w:rsid w:val="1DBD168C"/>
    <w:rsid w:val="1E234C86"/>
    <w:rsid w:val="1E29143B"/>
    <w:rsid w:val="1E74728F"/>
    <w:rsid w:val="1EA63FAE"/>
    <w:rsid w:val="1EB06519"/>
    <w:rsid w:val="1EF34CD3"/>
    <w:rsid w:val="1EF87EC0"/>
    <w:rsid w:val="1F244811"/>
    <w:rsid w:val="1F8C2A73"/>
    <w:rsid w:val="1F9A4AD4"/>
    <w:rsid w:val="1FA927C1"/>
    <w:rsid w:val="1FC009DE"/>
    <w:rsid w:val="1FF97A4C"/>
    <w:rsid w:val="20210D51"/>
    <w:rsid w:val="206A094A"/>
    <w:rsid w:val="208D63E6"/>
    <w:rsid w:val="20B3409F"/>
    <w:rsid w:val="211514D5"/>
    <w:rsid w:val="21A76846"/>
    <w:rsid w:val="21AA77CB"/>
    <w:rsid w:val="21D96C95"/>
    <w:rsid w:val="227317B0"/>
    <w:rsid w:val="229C6999"/>
    <w:rsid w:val="22C72083"/>
    <w:rsid w:val="233A1319"/>
    <w:rsid w:val="235D4796"/>
    <w:rsid w:val="23BD6FE3"/>
    <w:rsid w:val="23C15745"/>
    <w:rsid w:val="23E35B69"/>
    <w:rsid w:val="240B5D3C"/>
    <w:rsid w:val="24141D9B"/>
    <w:rsid w:val="24183C32"/>
    <w:rsid w:val="243C647F"/>
    <w:rsid w:val="24672B46"/>
    <w:rsid w:val="246F1264"/>
    <w:rsid w:val="24726959"/>
    <w:rsid w:val="247321DC"/>
    <w:rsid w:val="24CE7073"/>
    <w:rsid w:val="24D7163D"/>
    <w:rsid w:val="250F1CF5"/>
    <w:rsid w:val="25101CDA"/>
    <w:rsid w:val="255E59A9"/>
    <w:rsid w:val="25CE6443"/>
    <w:rsid w:val="25F0369F"/>
    <w:rsid w:val="265213ED"/>
    <w:rsid w:val="26900ED2"/>
    <w:rsid w:val="26A61FB0"/>
    <w:rsid w:val="26CE5E33"/>
    <w:rsid w:val="26F251F5"/>
    <w:rsid w:val="27481489"/>
    <w:rsid w:val="2758671C"/>
    <w:rsid w:val="27624129"/>
    <w:rsid w:val="27A44741"/>
    <w:rsid w:val="27A92DCA"/>
    <w:rsid w:val="27A95C55"/>
    <w:rsid w:val="27D22B63"/>
    <w:rsid w:val="28287CEE"/>
    <w:rsid w:val="28435CE2"/>
    <w:rsid w:val="2874236C"/>
    <w:rsid w:val="28C72DDD"/>
    <w:rsid w:val="29181DA8"/>
    <w:rsid w:val="292346DC"/>
    <w:rsid w:val="292A619C"/>
    <w:rsid w:val="293E0E53"/>
    <w:rsid w:val="29DB1EC8"/>
    <w:rsid w:val="2A3B6774"/>
    <w:rsid w:val="2A8924AA"/>
    <w:rsid w:val="2AD96DF8"/>
    <w:rsid w:val="2AE85674"/>
    <w:rsid w:val="2B4B6154"/>
    <w:rsid w:val="2B821FEF"/>
    <w:rsid w:val="2BD975DB"/>
    <w:rsid w:val="2C041C52"/>
    <w:rsid w:val="2C362496"/>
    <w:rsid w:val="2CDF7FCA"/>
    <w:rsid w:val="2CE04020"/>
    <w:rsid w:val="2D485B6F"/>
    <w:rsid w:val="2D8D2A73"/>
    <w:rsid w:val="2DB43208"/>
    <w:rsid w:val="2DCF0BED"/>
    <w:rsid w:val="2E2C1BCD"/>
    <w:rsid w:val="2E344345"/>
    <w:rsid w:val="2F4C1AE7"/>
    <w:rsid w:val="2F544EB3"/>
    <w:rsid w:val="2F600B4C"/>
    <w:rsid w:val="30276510"/>
    <w:rsid w:val="3031714B"/>
    <w:rsid w:val="306153F0"/>
    <w:rsid w:val="30A71AE3"/>
    <w:rsid w:val="30AB0CE7"/>
    <w:rsid w:val="30D650FE"/>
    <w:rsid w:val="31676E9C"/>
    <w:rsid w:val="318667A4"/>
    <w:rsid w:val="318A2BFA"/>
    <w:rsid w:val="31AD298A"/>
    <w:rsid w:val="3280648A"/>
    <w:rsid w:val="32E1407C"/>
    <w:rsid w:val="334B0167"/>
    <w:rsid w:val="33694A91"/>
    <w:rsid w:val="33B2468A"/>
    <w:rsid w:val="33B75467"/>
    <w:rsid w:val="33F71FE3"/>
    <w:rsid w:val="34A508B9"/>
    <w:rsid w:val="34A65D47"/>
    <w:rsid w:val="34A76F6E"/>
    <w:rsid w:val="34EF09E7"/>
    <w:rsid w:val="35356016"/>
    <w:rsid w:val="35362B2D"/>
    <w:rsid w:val="3540170E"/>
    <w:rsid w:val="35823A87"/>
    <w:rsid w:val="358919B2"/>
    <w:rsid w:val="35CA5DCC"/>
    <w:rsid w:val="35CF507F"/>
    <w:rsid w:val="35D15757"/>
    <w:rsid w:val="36086F35"/>
    <w:rsid w:val="36386400"/>
    <w:rsid w:val="365C313C"/>
    <w:rsid w:val="36CA590D"/>
    <w:rsid w:val="36EB12B9"/>
    <w:rsid w:val="375A77DC"/>
    <w:rsid w:val="3790735C"/>
    <w:rsid w:val="383529C2"/>
    <w:rsid w:val="384D2BD3"/>
    <w:rsid w:val="393328E5"/>
    <w:rsid w:val="398B0D75"/>
    <w:rsid w:val="398F2FFF"/>
    <w:rsid w:val="39E032BD"/>
    <w:rsid w:val="3A654204"/>
    <w:rsid w:val="3A751FF8"/>
    <w:rsid w:val="3A8723CC"/>
    <w:rsid w:val="3ADC2CA1"/>
    <w:rsid w:val="3AFA69CE"/>
    <w:rsid w:val="3B20012B"/>
    <w:rsid w:val="3B3C653D"/>
    <w:rsid w:val="3B4C0F20"/>
    <w:rsid w:val="3BCE7CAB"/>
    <w:rsid w:val="3BE42ACC"/>
    <w:rsid w:val="3BFF04B3"/>
    <w:rsid w:val="3C945361"/>
    <w:rsid w:val="3CA4480B"/>
    <w:rsid w:val="3CF70A12"/>
    <w:rsid w:val="3D0E1F63"/>
    <w:rsid w:val="3D1E66D3"/>
    <w:rsid w:val="3D2D6CED"/>
    <w:rsid w:val="3D53112B"/>
    <w:rsid w:val="3DA54918"/>
    <w:rsid w:val="3DB46FC5"/>
    <w:rsid w:val="3DB54DD9"/>
    <w:rsid w:val="3DC91DED"/>
    <w:rsid w:val="3E143A42"/>
    <w:rsid w:val="3E7B660F"/>
    <w:rsid w:val="3EBF2FC5"/>
    <w:rsid w:val="3F0B097A"/>
    <w:rsid w:val="3F153E7C"/>
    <w:rsid w:val="3F21299C"/>
    <w:rsid w:val="3F2B7977"/>
    <w:rsid w:val="3F3D66CD"/>
    <w:rsid w:val="3F5462F2"/>
    <w:rsid w:val="3F7F29BA"/>
    <w:rsid w:val="3F917EA3"/>
    <w:rsid w:val="3FA52EEE"/>
    <w:rsid w:val="3FAA4467"/>
    <w:rsid w:val="3FC5312E"/>
    <w:rsid w:val="3FD46CAA"/>
    <w:rsid w:val="3FDC5DCB"/>
    <w:rsid w:val="3FED6871"/>
    <w:rsid w:val="40820F6F"/>
    <w:rsid w:val="40B06A01"/>
    <w:rsid w:val="410B53D9"/>
    <w:rsid w:val="41235B4B"/>
    <w:rsid w:val="41474E1E"/>
    <w:rsid w:val="41685D5D"/>
    <w:rsid w:val="41882372"/>
    <w:rsid w:val="41905C1D"/>
    <w:rsid w:val="41BC374E"/>
    <w:rsid w:val="41CE0F85"/>
    <w:rsid w:val="421A58D4"/>
    <w:rsid w:val="4222518C"/>
    <w:rsid w:val="42375131"/>
    <w:rsid w:val="42470723"/>
    <w:rsid w:val="42580EE9"/>
    <w:rsid w:val="437419F1"/>
    <w:rsid w:val="443B6ACE"/>
    <w:rsid w:val="44626E27"/>
    <w:rsid w:val="451C1550"/>
    <w:rsid w:val="45375A9E"/>
    <w:rsid w:val="45991206"/>
    <w:rsid w:val="45B83A6E"/>
    <w:rsid w:val="45F93C8F"/>
    <w:rsid w:val="465D172D"/>
    <w:rsid w:val="468F6999"/>
    <w:rsid w:val="469324D8"/>
    <w:rsid w:val="46D11FBC"/>
    <w:rsid w:val="4743226B"/>
    <w:rsid w:val="47A04ACD"/>
    <w:rsid w:val="47C258D6"/>
    <w:rsid w:val="483153FC"/>
    <w:rsid w:val="48334294"/>
    <w:rsid w:val="48561630"/>
    <w:rsid w:val="48873C0C"/>
    <w:rsid w:val="489F1ADF"/>
    <w:rsid w:val="48EC5F5D"/>
    <w:rsid w:val="4921650C"/>
    <w:rsid w:val="492C093B"/>
    <w:rsid w:val="494B3459"/>
    <w:rsid w:val="495D254A"/>
    <w:rsid w:val="496D044E"/>
    <w:rsid w:val="497E6723"/>
    <w:rsid w:val="49BA799D"/>
    <w:rsid w:val="4A753438"/>
    <w:rsid w:val="4A7C2DC2"/>
    <w:rsid w:val="4ABC33A7"/>
    <w:rsid w:val="4B114D1A"/>
    <w:rsid w:val="4B814C16"/>
    <w:rsid w:val="4BAB57EF"/>
    <w:rsid w:val="4BEB429E"/>
    <w:rsid w:val="4BFA22D2"/>
    <w:rsid w:val="4C033D8E"/>
    <w:rsid w:val="4C0D2254"/>
    <w:rsid w:val="4C75097F"/>
    <w:rsid w:val="4C776080"/>
    <w:rsid w:val="4C8B1EE4"/>
    <w:rsid w:val="4C956F44"/>
    <w:rsid w:val="4CC36774"/>
    <w:rsid w:val="4DBD0916"/>
    <w:rsid w:val="4DDE481E"/>
    <w:rsid w:val="4DEB45C9"/>
    <w:rsid w:val="4DEE01EB"/>
    <w:rsid w:val="4E113A67"/>
    <w:rsid w:val="4E13432C"/>
    <w:rsid w:val="4E676345"/>
    <w:rsid w:val="4E6A78E3"/>
    <w:rsid w:val="4E7A2F6D"/>
    <w:rsid w:val="4E962786"/>
    <w:rsid w:val="4EA76741"/>
    <w:rsid w:val="4EB2492E"/>
    <w:rsid w:val="4EBF2AC2"/>
    <w:rsid w:val="4ECC32FB"/>
    <w:rsid w:val="4F051F32"/>
    <w:rsid w:val="4F07310A"/>
    <w:rsid w:val="4F376CDC"/>
    <w:rsid w:val="4F59743D"/>
    <w:rsid w:val="4F611EBE"/>
    <w:rsid w:val="4F6445FD"/>
    <w:rsid w:val="4FA709C3"/>
    <w:rsid w:val="4FA7250F"/>
    <w:rsid w:val="4FAC5499"/>
    <w:rsid w:val="4FB30DD1"/>
    <w:rsid w:val="4FBD1A9A"/>
    <w:rsid w:val="4FC10F51"/>
    <w:rsid w:val="4FE87FA6"/>
    <w:rsid w:val="4FFD3D1D"/>
    <w:rsid w:val="5038102A"/>
    <w:rsid w:val="50750E8F"/>
    <w:rsid w:val="50BB5D80"/>
    <w:rsid w:val="50F70163"/>
    <w:rsid w:val="50FC2E71"/>
    <w:rsid w:val="512D283B"/>
    <w:rsid w:val="5153670D"/>
    <w:rsid w:val="51E6484F"/>
    <w:rsid w:val="520B222A"/>
    <w:rsid w:val="52476F7E"/>
    <w:rsid w:val="526A2243"/>
    <w:rsid w:val="52720133"/>
    <w:rsid w:val="529945F3"/>
    <w:rsid w:val="533E1523"/>
    <w:rsid w:val="538B5B9E"/>
    <w:rsid w:val="53A476F3"/>
    <w:rsid w:val="53F555CD"/>
    <w:rsid w:val="54007CFB"/>
    <w:rsid w:val="541C548D"/>
    <w:rsid w:val="545F361A"/>
    <w:rsid w:val="54687B0A"/>
    <w:rsid w:val="54D2203E"/>
    <w:rsid w:val="55175CA3"/>
    <w:rsid w:val="5537365B"/>
    <w:rsid w:val="5559450E"/>
    <w:rsid w:val="558161DF"/>
    <w:rsid w:val="55933D75"/>
    <w:rsid w:val="55C951EF"/>
    <w:rsid w:val="56075D18"/>
    <w:rsid w:val="560E36BE"/>
    <w:rsid w:val="564B7CA0"/>
    <w:rsid w:val="56693357"/>
    <w:rsid w:val="57FC2EEA"/>
    <w:rsid w:val="58337298"/>
    <w:rsid w:val="589C176E"/>
    <w:rsid w:val="58A67A6A"/>
    <w:rsid w:val="58F63BE8"/>
    <w:rsid w:val="595B08A7"/>
    <w:rsid w:val="597A7A78"/>
    <w:rsid w:val="599E6079"/>
    <w:rsid w:val="59AE28B0"/>
    <w:rsid w:val="59D94E3D"/>
    <w:rsid w:val="5A4A272E"/>
    <w:rsid w:val="5A69244D"/>
    <w:rsid w:val="5A9421F5"/>
    <w:rsid w:val="5AF242A8"/>
    <w:rsid w:val="5AF42BC7"/>
    <w:rsid w:val="5B1213E7"/>
    <w:rsid w:val="5B47134C"/>
    <w:rsid w:val="5BD13CF4"/>
    <w:rsid w:val="5C0C22DA"/>
    <w:rsid w:val="5CAA564F"/>
    <w:rsid w:val="5CB63FF4"/>
    <w:rsid w:val="5CF1327E"/>
    <w:rsid w:val="5D3C0503"/>
    <w:rsid w:val="5D3E3A06"/>
    <w:rsid w:val="5D4946EB"/>
    <w:rsid w:val="5D4B0B1D"/>
    <w:rsid w:val="5D5071A3"/>
    <w:rsid w:val="5D637223"/>
    <w:rsid w:val="5D7D7BFC"/>
    <w:rsid w:val="5DF20031"/>
    <w:rsid w:val="5DF979BC"/>
    <w:rsid w:val="5E045D4D"/>
    <w:rsid w:val="5E092379"/>
    <w:rsid w:val="5E482FBE"/>
    <w:rsid w:val="5E6F08FE"/>
    <w:rsid w:val="5E7A120F"/>
    <w:rsid w:val="5E987F67"/>
    <w:rsid w:val="5EA57AD5"/>
    <w:rsid w:val="5EAE6EA2"/>
    <w:rsid w:val="5ED15115"/>
    <w:rsid w:val="5F131BD1"/>
    <w:rsid w:val="5F3560BF"/>
    <w:rsid w:val="5F4646D9"/>
    <w:rsid w:val="5F8C6DD1"/>
    <w:rsid w:val="5FB77C20"/>
    <w:rsid w:val="5FDA02E7"/>
    <w:rsid w:val="5FE307E1"/>
    <w:rsid w:val="601147A8"/>
    <w:rsid w:val="6042276E"/>
    <w:rsid w:val="606C3BBD"/>
    <w:rsid w:val="60805044"/>
    <w:rsid w:val="60CB2763"/>
    <w:rsid w:val="60EA7D0F"/>
    <w:rsid w:val="614E2C12"/>
    <w:rsid w:val="61756BD2"/>
    <w:rsid w:val="619D77B2"/>
    <w:rsid w:val="620D2908"/>
    <w:rsid w:val="62170142"/>
    <w:rsid w:val="622C3B9E"/>
    <w:rsid w:val="62487916"/>
    <w:rsid w:val="62B62C3D"/>
    <w:rsid w:val="62ED61DB"/>
    <w:rsid w:val="63475A0F"/>
    <w:rsid w:val="63483071"/>
    <w:rsid w:val="636429FB"/>
    <w:rsid w:val="63792BB7"/>
    <w:rsid w:val="63AE1EC8"/>
    <w:rsid w:val="63C7091D"/>
    <w:rsid w:val="641374BF"/>
    <w:rsid w:val="64391D7F"/>
    <w:rsid w:val="644017A3"/>
    <w:rsid w:val="644B3AE5"/>
    <w:rsid w:val="646B1ECF"/>
    <w:rsid w:val="64C53862"/>
    <w:rsid w:val="64D96C80"/>
    <w:rsid w:val="64DA61DE"/>
    <w:rsid w:val="6578780D"/>
    <w:rsid w:val="65803F95"/>
    <w:rsid w:val="65891518"/>
    <w:rsid w:val="658E6328"/>
    <w:rsid w:val="65D20276"/>
    <w:rsid w:val="65EA5BC3"/>
    <w:rsid w:val="661E1587"/>
    <w:rsid w:val="662C0A0A"/>
    <w:rsid w:val="66644AC0"/>
    <w:rsid w:val="6672542F"/>
    <w:rsid w:val="66E77578"/>
    <w:rsid w:val="67177354"/>
    <w:rsid w:val="679A28BA"/>
    <w:rsid w:val="67BD7633"/>
    <w:rsid w:val="67E45EB9"/>
    <w:rsid w:val="680C6B42"/>
    <w:rsid w:val="683A01CF"/>
    <w:rsid w:val="68444BA9"/>
    <w:rsid w:val="685A617B"/>
    <w:rsid w:val="686B6B5C"/>
    <w:rsid w:val="687A05CB"/>
    <w:rsid w:val="69623539"/>
    <w:rsid w:val="69686717"/>
    <w:rsid w:val="69A7605A"/>
    <w:rsid w:val="6A1D56B2"/>
    <w:rsid w:val="6AA11FFE"/>
    <w:rsid w:val="6ABF36F4"/>
    <w:rsid w:val="6AEA5C76"/>
    <w:rsid w:val="6AEE23DE"/>
    <w:rsid w:val="6B4F341C"/>
    <w:rsid w:val="6B8B57FF"/>
    <w:rsid w:val="6B8C6E48"/>
    <w:rsid w:val="6B8E7776"/>
    <w:rsid w:val="6BB16BF5"/>
    <w:rsid w:val="6BC27ED8"/>
    <w:rsid w:val="6BD9106E"/>
    <w:rsid w:val="6BE82E3C"/>
    <w:rsid w:val="6BF608B1"/>
    <w:rsid w:val="6C741EF9"/>
    <w:rsid w:val="6C997714"/>
    <w:rsid w:val="6CAD6BDB"/>
    <w:rsid w:val="6CB03BB7"/>
    <w:rsid w:val="6CBC13F4"/>
    <w:rsid w:val="6D016666"/>
    <w:rsid w:val="6D177411"/>
    <w:rsid w:val="6D351DE0"/>
    <w:rsid w:val="6DC618A6"/>
    <w:rsid w:val="6ECB7DD2"/>
    <w:rsid w:val="6EE82732"/>
    <w:rsid w:val="6EF916AB"/>
    <w:rsid w:val="6EFA6420"/>
    <w:rsid w:val="6F080FB9"/>
    <w:rsid w:val="6F433063"/>
    <w:rsid w:val="6FC4136C"/>
    <w:rsid w:val="6FD902CD"/>
    <w:rsid w:val="7014496E"/>
    <w:rsid w:val="70394BAE"/>
    <w:rsid w:val="70C426AE"/>
    <w:rsid w:val="70D8620A"/>
    <w:rsid w:val="70E80CE7"/>
    <w:rsid w:val="71010D74"/>
    <w:rsid w:val="71151F93"/>
    <w:rsid w:val="713E2ADE"/>
    <w:rsid w:val="714C3BDE"/>
    <w:rsid w:val="71722787"/>
    <w:rsid w:val="71CF4C44"/>
    <w:rsid w:val="71E02960"/>
    <w:rsid w:val="71E61C5B"/>
    <w:rsid w:val="7238577F"/>
    <w:rsid w:val="72610BC0"/>
    <w:rsid w:val="72710AAC"/>
    <w:rsid w:val="72AF55B7"/>
    <w:rsid w:val="72B3073A"/>
    <w:rsid w:val="72B868C0"/>
    <w:rsid w:val="72D85243"/>
    <w:rsid w:val="732267F0"/>
    <w:rsid w:val="733E397A"/>
    <w:rsid w:val="7357094B"/>
    <w:rsid w:val="73920745"/>
    <w:rsid w:val="73C37F71"/>
    <w:rsid w:val="7431442E"/>
    <w:rsid w:val="7434641A"/>
    <w:rsid w:val="74E120FE"/>
    <w:rsid w:val="74F51705"/>
    <w:rsid w:val="753005DD"/>
    <w:rsid w:val="7552465E"/>
    <w:rsid w:val="756D3991"/>
    <w:rsid w:val="760B7AD9"/>
    <w:rsid w:val="7637387F"/>
    <w:rsid w:val="76581835"/>
    <w:rsid w:val="76740D50"/>
    <w:rsid w:val="769E7B7B"/>
    <w:rsid w:val="77625803"/>
    <w:rsid w:val="77740D08"/>
    <w:rsid w:val="779E794E"/>
    <w:rsid w:val="77D13620"/>
    <w:rsid w:val="77E67D42"/>
    <w:rsid w:val="78295DEA"/>
    <w:rsid w:val="78785895"/>
    <w:rsid w:val="78E43D9A"/>
    <w:rsid w:val="78FC7383"/>
    <w:rsid w:val="79512818"/>
    <w:rsid w:val="79A92CF0"/>
    <w:rsid w:val="7A3727C0"/>
    <w:rsid w:val="7A514DB2"/>
    <w:rsid w:val="7A5720C5"/>
    <w:rsid w:val="7A7C58EE"/>
    <w:rsid w:val="7A810423"/>
    <w:rsid w:val="7A8333F9"/>
    <w:rsid w:val="7A8D259F"/>
    <w:rsid w:val="7AA91222"/>
    <w:rsid w:val="7AAF4CA5"/>
    <w:rsid w:val="7AD75E97"/>
    <w:rsid w:val="7B004ADD"/>
    <w:rsid w:val="7B1B31B9"/>
    <w:rsid w:val="7B3B6D5C"/>
    <w:rsid w:val="7BAB7EA7"/>
    <w:rsid w:val="7C372603"/>
    <w:rsid w:val="7C6B04AB"/>
    <w:rsid w:val="7CE945FD"/>
    <w:rsid w:val="7CEF7382"/>
    <w:rsid w:val="7D0D41C0"/>
    <w:rsid w:val="7D1D14DB"/>
    <w:rsid w:val="7D343B6C"/>
    <w:rsid w:val="7D6667D0"/>
    <w:rsid w:val="7DC97BD3"/>
    <w:rsid w:val="7DD76804"/>
    <w:rsid w:val="7E230E82"/>
    <w:rsid w:val="7E481DA9"/>
    <w:rsid w:val="7E580057"/>
    <w:rsid w:val="7E6B6EDC"/>
    <w:rsid w:val="7EBB576E"/>
    <w:rsid w:val="7F1E0D19"/>
    <w:rsid w:val="7F332D20"/>
    <w:rsid w:val="7F3C0728"/>
    <w:rsid w:val="7F9238FB"/>
    <w:rsid w:val="7F9C4E6B"/>
    <w:rsid w:val="7FD50AB1"/>
    <w:rsid w:val="7FD83CB6"/>
    <w:rsid w:val="7FE94F6A"/>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9"/>
    <w:pPr>
      <w:keepNext/>
      <w:keepLines/>
      <w:tabs>
        <w:tab w:val="left" w:pos="420"/>
      </w:tabs>
      <w:spacing w:before="120" w:after="120"/>
      <w:jc w:val="left"/>
      <w:outlineLvl w:val="0"/>
    </w:pPr>
    <w:rPr>
      <w:b/>
      <w:bCs/>
      <w:kern w:val="44"/>
      <w:sz w:val="28"/>
      <w:szCs w:val="28"/>
    </w:rPr>
  </w:style>
  <w:style w:type="paragraph" w:styleId="2">
    <w:name w:val="heading 5"/>
    <w:basedOn w:val="3"/>
    <w:next w:val="4"/>
    <w:qFormat/>
    <w:uiPriority w:val="9"/>
    <w:pPr>
      <w:keepNext/>
      <w:keepLines/>
      <w:numPr>
        <w:numId w:val="1"/>
      </w:numPr>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List Number 2"/>
    <w:basedOn w:val="1"/>
    <w:qFormat/>
    <w:uiPriority w:val="0"/>
    <w:pPr>
      <w:numPr>
        <w:ilvl w:val="0"/>
        <w:numId w:val="2"/>
      </w:numPr>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Normal Indent"/>
    <w:basedOn w:val="1"/>
    <w:qFormat/>
    <w:uiPriority w:val="0"/>
    <w:pPr>
      <w:ind w:firstLine="420"/>
    </w:pPr>
    <w:rPr>
      <w:rFonts w:ascii="Times New Roman" w:hAnsi="Times New Roman"/>
      <w:szCs w:val="20"/>
    </w:rPr>
  </w:style>
  <w:style w:type="paragraph" w:styleId="7">
    <w:name w:val="annotation text"/>
    <w:basedOn w:val="1"/>
    <w:link w:val="44"/>
    <w:qFormat/>
    <w:uiPriority w:val="0"/>
    <w:pPr>
      <w:jc w:val="left"/>
    </w:pPr>
  </w:style>
  <w:style w:type="paragraph" w:styleId="8">
    <w:name w:val="Body Text"/>
    <w:basedOn w:val="1"/>
    <w:next w:val="1"/>
    <w:qFormat/>
    <w:uiPriority w:val="1"/>
    <w:rPr>
      <w:b/>
      <w:szCs w:val="24"/>
    </w:rPr>
  </w:style>
  <w:style w:type="paragraph" w:styleId="9">
    <w:name w:val="Body Text Indent"/>
    <w:basedOn w:val="1"/>
    <w:next w:val="1"/>
    <w:qFormat/>
    <w:uiPriority w:val="0"/>
    <w:pPr>
      <w:spacing w:after="120"/>
      <w:ind w:left="420" w:leftChars="200"/>
    </w:pPr>
  </w:style>
  <w:style w:type="paragraph" w:styleId="10">
    <w:name w:val="Block Text"/>
    <w:basedOn w:val="1"/>
    <w:next w:val="1"/>
    <w:qFormat/>
    <w:uiPriority w:val="99"/>
    <w:pPr>
      <w:spacing w:line="400" w:lineRule="atLeast"/>
      <w:ind w:left="280" w:right="134" w:rightChars="134" w:firstLine="497"/>
    </w:pPr>
    <w:rPr>
      <w:rFonts w:ascii="宋体" w:hAnsi="宋体" w:eastAsia="楷体_GB2312"/>
      <w:sz w:val="24"/>
      <w:szCs w:val="20"/>
    </w:r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37"/>
    <w:qFormat/>
    <w:uiPriority w:val="0"/>
    <w:rPr>
      <w:sz w:val="18"/>
      <w:szCs w:val="18"/>
    </w:rPr>
  </w:style>
  <w:style w:type="paragraph" w:styleId="13">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4">
    <w:name w:val="header"/>
    <w:basedOn w:val="1"/>
    <w:link w:val="43"/>
    <w:qFormat/>
    <w:uiPriority w:val="0"/>
    <w:pP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Calibri" w:hAnsi="Calibri" w:eastAsia="宋体" w:cs="Times New Roman"/>
      <w:kern w:val="2"/>
      <w:sz w:val="21"/>
      <w:szCs w:val="22"/>
      <w:lang w:val="en-US" w:eastAsia="zh-CN" w:bidi="ar-SA"/>
    </w:rPr>
  </w:style>
  <w:style w:type="paragraph" w:styleId="16">
    <w:name w:val="toc 2"/>
    <w:next w:val="1"/>
    <w:unhideWhenUsed/>
    <w:qFormat/>
    <w:uiPriority w:val="39"/>
    <w:pPr>
      <w:widowControl w:val="0"/>
      <w:ind w:left="420" w:leftChars="200"/>
      <w:jc w:val="both"/>
    </w:pPr>
    <w:rPr>
      <w:rFonts w:ascii="Calibri" w:hAnsi="Calibri" w:eastAsia="宋体" w:cs="Times New Roman"/>
      <w:kern w:val="2"/>
      <w:sz w:val="21"/>
      <w:szCs w:val="22"/>
      <w:lang w:val="en-US" w:eastAsia="zh-CN" w:bidi="ar-SA"/>
    </w:rPr>
  </w:style>
  <w:style w:type="paragraph" w:styleId="17">
    <w:name w:val="Body Text 2"/>
    <w:basedOn w:val="1"/>
    <w:unhideWhenUsed/>
    <w:qFormat/>
    <w:uiPriority w:val="0"/>
    <w:pPr>
      <w:spacing w:after="120" w:line="480" w:lineRule="auto"/>
    </w:pPr>
  </w:style>
  <w:style w:type="paragraph" w:styleId="18">
    <w:name w:val="annotation subject"/>
    <w:basedOn w:val="7"/>
    <w:next w:val="7"/>
    <w:link w:val="45"/>
    <w:qFormat/>
    <w:uiPriority w:val="0"/>
    <w:rPr>
      <w:b/>
      <w:bCs/>
    </w:rPr>
  </w:style>
  <w:style w:type="paragraph" w:styleId="19">
    <w:name w:val="Body Text First Indent 2"/>
    <w:basedOn w:val="9"/>
    <w:next w:val="20"/>
    <w:unhideWhenUsed/>
    <w:qFormat/>
    <w:uiPriority w:val="99"/>
    <w:pPr>
      <w:ind w:firstLine="420"/>
    </w:pPr>
  </w:style>
  <w:style w:type="paragraph" w:customStyle="1" w:styleId="20">
    <w:name w:val="样式 标题 3 + (中文) 黑体 小四 非加粗 段前: 7.8 磅 段后: 0 磅 行距: 固定值 20 磅_0"/>
    <w:basedOn w:val="21"/>
    <w:qFormat/>
    <w:uiPriority w:val="0"/>
    <w:pPr>
      <w:spacing w:before="0" w:after="0" w:line="400" w:lineRule="exact"/>
    </w:pPr>
    <w:rPr>
      <w:rFonts w:ascii="Times New Roman" w:hAnsi="Times New Roman" w:eastAsia="黑体" w:cs="宋体"/>
      <w:b w:val="0"/>
      <w:bCs w:val="0"/>
      <w:sz w:val="21"/>
      <w:szCs w:val="20"/>
    </w:rPr>
  </w:style>
  <w:style w:type="paragraph" w:customStyle="1" w:styleId="21">
    <w:name w:val="标题 3_0"/>
    <w:basedOn w:val="22"/>
    <w:next w:val="23"/>
    <w:qFormat/>
    <w:uiPriority w:val="0"/>
    <w:pPr>
      <w:keepNext/>
      <w:keepLines/>
      <w:spacing w:before="260" w:after="260" w:line="416" w:lineRule="auto"/>
      <w:outlineLvl w:val="2"/>
    </w:pPr>
    <w:rPr>
      <w:rFonts w:ascii="Calibri" w:hAnsi="Calibri"/>
      <w:b/>
      <w:bCs/>
      <w:sz w:val="32"/>
      <w:szCs w:val="32"/>
    </w:rPr>
  </w:style>
  <w:style w:type="paragraph" w:customStyle="1" w:styleId="22">
    <w:name w:val="正文_0"/>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1"/>
    <w:next w:val="19"/>
    <w:qFormat/>
    <w:uiPriority w:val="0"/>
    <w:pPr>
      <w:widowControl w:val="0"/>
      <w:jc w:val="both"/>
    </w:pPr>
    <w:rPr>
      <w:rFonts w:ascii="Times New Roman" w:hAnsi="Times New Roman" w:eastAsia="宋体" w:cs="Times New Roman"/>
      <w:kern w:val="2"/>
      <w:sz w:val="21"/>
      <w:szCs w:val="22"/>
      <w:lang w:val="en-US" w:eastAsia="zh-CN" w:bidi="ar-SA"/>
    </w:rPr>
  </w:style>
  <w:style w:type="table" w:styleId="2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Fließtext"/>
    <w:basedOn w:val="1"/>
    <w:qFormat/>
    <w:uiPriority w:val="99"/>
    <w:pPr>
      <w:overflowPunct w:val="0"/>
      <w:autoSpaceDE w:val="0"/>
      <w:autoSpaceDN w:val="0"/>
      <w:adjustRightInd w:val="0"/>
      <w:textAlignment w:val="baseline"/>
    </w:pPr>
    <w:rPr>
      <w:kern w:val="28"/>
      <w:szCs w:val="20"/>
    </w:rPr>
  </w:style>
  <w:style w:type="paragraph" w:customStyle="1" w:styleId="31">
    <w:name w:val="null3"/>
    <w:qFormat/>
    <w:uiPriority w:val="0"/>
    <w:rPr>
      <w:rFonts w:hint="eastAsia" w:ascii="Calibri" w:hAnsi="Calibri" w:eastAsia="宋体" w:cs="Times New Roman"/>
      <w:lang w:val="en-US" w:eastAsia="zh-CN" w:bidi="ar-SA"/>
    </w:rPr>
  </w:style>
  <w:style w:type="paragraph" w:customStyle="1" w:styleId="32">
    <w:name w:val="样式1"/>
    <w:qFormat/>
    <w:uiPriority w:val="0"/>
    <w:pPr>
      <w:widowControl w:val="0"/>
      <w:jc w:val="center"/>
    </w:pPr>
    <w:rPr>
      <w:rFonts w:ascii="Calibri" w:hAnsi="Calibri" w:eastAsia="方正大标宋简体" w:cs="Times New Roman"/>
      <w:kern w:val="2"/>
      <w:sz w:val="52"/>
      <w:szCs w:val="22"/>
      <w:lang w:val="en-US" w:eastAsia="zh-CN" w:bidi="ar-SA"/>
    </w:rPr>
  </w:style>
  <w:style w:type="paragraph" w:customStyle="1" w:styleId="3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36">
    <w:name w:val="List Paragraph"/>
    <w:basedOn w:val="1"/>
    <w:qFormat/>
    <w:uiPriority w:val="0"/>
    <w:pPr>
      <w:widowControl/>
      <w:ind w:firstLine="420" w:firstLineChars="200"/>
      <w:jc w:val="left"/>
    </w:pPr>
    <w:rPr>
      <w:rFonts w:ascii="MetaPlusLF" w:hAnsi="MetaPlusLF"/>
      <w:sz w:val="20"/>
      <w:szCs w:val="20"/>
      <w:lang w:val="de-DE" w:eastAsia="de-DE"/>
    </w:rPr>
  </w:style>
  <w:style w:type="character" w:customStyle="1" w:styleId="37">
    <w:name w:val="批注框文本 字符"/>
    <w:basedOn w:val="26"/>
    <w:link w:val="12"/>
    <w:qFormat/>
    <w:uiPriority w:val="0"/>
    <w:rPr>
      <w:rFonts w:ascii="Calibri" w:hAnsi="Calibri"/>
      <w:kern w:val="2"/>
      <w:sz w:val="18"/>
      <w:szCs w:val="18"/>
    </w:rPr>
  </w:style>
  <w:style w:type="character" w:customStyle="1" w:styleId="38">
    <w:name w:val="NormalCharacter"/>
    <w:qFormat/>
    <w:uiPriority w:val="99"/>
  </w:style>
  <w:style w:type="paragraph" w:customStyle="1" w:styleId="3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HtmlNormal"/>
    <w:basedOn w:val="1"/>
    <w:qFormat/>
    <w:uiPriority w:val="99"/>
    <w:pPr>
      <w:widowControl/>
    </w:pPr>
    <w:rPr>
      <w:sz w:val="24"/>
      <w:szCs w:val="24"/>
    </w:rPr>
  </w:style>
  <w:style w:type="character" w:customStyle="1" w:styleId="41">
    <w:name w:val="font131"/>
    <w:basedOn w:val="26"/>
    <w:qFormat/>
    <w:uiPriority w:val="0"/>
    <w:rPr>
      <w:rFonts w:hint="default"/>
      <w:color w:val="000000"/>
      <w:sz w:val="20"/>
      <w:szCs w:val="20"/>
      <w:u w:val="none"/>
    </w:rPr>
  </w:style>
  <w:style w:type="character" w:customStyle="1" w:styleId="42">
    <w:name w:val="font31"/>
    <w:qFormat/>
    <w:uiPriority w:val="0"/>
    <w:rPr>
      <w:rFonts w:hint="eastAsia" w:ascii="宋体" w:hAnsi="宋体" w:eastAsia="宋体" w:cs="宋体"/>
      <w:b/>
      <w:bCs/>
      <w:color w:val="000000"/>
      <w:sz w:val="24"/>
      <w:szCs w:val="24"/>
      <w:u w:val="none"/>
    </w:rPr>
  </w:style>
  <w:style w:type="character" w:customStyle="1" w:styleId="43">
    <w:name w:val="页眉 字符"/>
    <w:basedOn w:val="26"/>
    <w:link w:val="14"/>
    <w:qFormat/>
    <w:uiPriority w:val="0"/>
    <w:rPr>
      <w:rFonts w:ascii="Calibri" w:hAnsi="Calibri"/>
      <w:kern w:val="2"/>
      <w:sz w:val="18"/>
      <w:szCs w:val="18"/>
    </w:rPr>
  </w:style>
  <w:style w:type="character" w:customStyle="1" w:styleId="44">
    <w:name w:val="批注文字 字符"/>
    <w:basedOn w:val="26"/>
    <w:link w:val="7"/>
    <w:qFormat/>
    <w:uiPriority w:val="0"/>
    <w:rPr>
      <w:rFonts w:ascii="Calibri" w:hAnsi="Calibri"/>
      <w:kern w:val="2"/>
      <w:sz w:val="21"/>
      <w:szCs w:val="22"/>
    </w:rPr>
  </w:style>
  <w:style w:type="character" w:customStyle="1" w:styleId="45">
    <w:name w:val="批注主题 字符"/>
    <w:basedOn w:val="44"/>
    <w:link w:val="18"/>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63355</Words>
  <Characters>66218</Characters>
  <Lines>521</Lines>
  <Paragraphs>146</Paragraphs>
  <TotalTime>19</TotalTime>
  <ScaleCrop>false</ScaleCrop>
  <LinksUpToDate>false</LinksUpToDate>
  <CharactersWithSpaces>69673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2024-06-10T12:04:00Z</dcterms:created>
  <dc:creator>Administrator</dc:creator>
  <cp:lastModifiedBy>admin</cp:lastModifiedBy>
  <dcterms:modified xsi:type="dcterms:W3CDTF">2024-08-22T05:32:53Z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1ADF3D654C4746C0AD83BA63960F344B_13</vt:lpwstr>
  </property>
</Properties>
</file>