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90"/>
        <w:jc w:val="center"/>
        <w:outlineLvl w:val="0"/>
        <w:rPr>
          <w:rFonts w:cs="宋体" w:asciiTheme="minorEastAsia" w:hAnsiTheme="minorEastAsia"/>
          <w:b/>
          <w:color w:val="222222"/>
          <w:spacing w:val="7"/>
          <w:kern w:val="36"/>
          <w:sz w:val="28"/>
          <w:szCs w:val="28"/>
        </w:rPr>
      </w:pPr>
      <w:r>
        <w:rPr>
          <w:rFonts w:hint="eastAsia" w:cs="宋体" w:asciiTheme="minorEastAsia" w:hAnsiTheme="minorEastAsia"/>
          <w:b/>
          <w:color w:val="222222"/>
          <w:spacing w:val="7"/>
          <w:kern w:val="36"/>
          <w:sz w:val="28"/>
          <w:szCs w:val="28"/>
        </w:rPr>
        <w:t>两部门发文明确企业投入基础研究税收优惠政策</w:t>
      </w:r>
    </w:p>
    <w:p>
      <w:pPr>
        <w:widowControl/>
        <w:shd w:val="clear" w:color="auto" w:fill="FFFFFF"/>
        <w:jc w:val="center"/>
        <w:rPr>
          <w:rFonts w:ascii="微软雅黑" w:hAnsi="微软雅黑" w:eastAsia="微软雅黑" w:cs="宋体"/>
          <w:color w:val="auto"/>
          <w:spacing w:val="7"/>
          <w:kern w:val="0"/>
          <w:sz w:val="23"/>
          <w:szCs w:val="23"/>
        </w:rPr>
      </w:pPr>
      <w:r>
        <w:rPr>
          <w:rFonts w:hint="eastAsia" w:ascii="微软雅黑" w:hAnsi="微软雅黑" w:eastAsia="微软雅黑" w:cs="宋体"/>
          <w:b/>
          <w:bCs/>
          <w:color w:val="auto"/>
          <w:spacing w:val="7"/>
          <w:kern w:val="0"/>
          <w:sz w:val="23"/>
        </w:rPr>
        <w:t>财政部 税务总局</w:t>
      </w:r>
    </w:p>
    <w:p>
      <w:pPr>
        <w:widowControl/>
        <w:shd w:val="clear" w:color="auto" w:fill="FFFFFF"/>
        <w:jc w:val="center"/>
        <w:rPr>
          <w:rFonts w:hint="eastAsia" w:ascii="微软雅黑" w:hAnsi="微软雅黑" w:eastAsia="微软雅黑" w:cs="宋体"/>
          <w:color w:val="222222"/>
          <w:spacing w:val="7"/>
          <w:kern w:val="0"/>
          <w:sz w:val="23"/>
          <w:szCs w:val="23"/>
        </w:rPr>
      </w:pPr>
      <w:r>
        <w:rPr>
          <w:rFonts w:hint="eastAsia" w:ascii="微软雅黑" w:hAnsi="微软雅黑" w:eastAsia="微软雅黑" w:cs="宋体"/>
          <w:b/>
          <w:bCs/>
          <w:color w:val="auto"/>
          <w:spacing w:val="7"/>
          <w:kern w:val="0"/>
          <w:sz w:val="23"/>
        </w:rPr>
        <w:t>关于企业投入基础研究税收优惠政策的公告</w:t>
      </w:r>
    </w:p>
    <w:p>
      <w:pPr>
        <w:widowControl/>
        <w:shd w:val="clear" w:color="auto" w:fill="FFFFFF"/>
        <w:jc w:val="center"/>
        <w:rPr>
          <w:rFonts w:hint="eastAsia" w:ascii="微软雅黑" w:hAnsi="微软雅黑" w:eastAsia="微软雅黑" w:cs="宋体"/>
          <w:color w:val="222222"/>
          <w:spacing w:val="7"/>
          <w:kern w:val="0"/>
          <w:sz w:val="23"/>
          <w:szCs w:val="23"/>
        </w:rPr>
      </w:pPr>
      <w:r>
        <w:rPr>
          <w:rFonts w:hint="eastAsia" w:ascii="微软雅黑" w:hAnsi="微软雅黑" w:eastAsia="微软雅黑" w:cs="宋体"/>
          <w:color w:val="888888"/>
          <w:spacing w:val="7"/>
          <w:kern w:val="0"/>
          <w:sz w:val="19"/>
          <w:szCs w:val="19"/>
        </w:rPr>
        <w:t>财政部 税务总局公告2022年第32号</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为鼓励企业加大创新投入，支持我国基础研究发展，现就企业投入基础研究相关税收政策公告如下：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一、对企业出资给非营利性科学技术研究开发</w:t>
      </w:r>
      <w:bookmarkStart w:id="0" w:name="_GoBack"/>
      <w:bookmarkEnd w:id="0"/>
      <w:r>
        <w:rPr>
          <w:rFonts w:ascii="宋体" w:hAnsi="宋体" w:eastAsia="宋体" w:cs="宋体"/>
          <w:kern w:val="0"/>
          <w:sz w:val="24"/>
          <w:szCs w:val="24"/>
        </w:rPr>
        <w:t>机构（科学技术研究开发机构以下简称科研机构）、高等学校和政府性自然科学基金用于基础研究的支出，在计算应纳税所得额时可按实际发生额在税前扣除，并可按100%在税前加计扣除。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对非营利性科研机构、高等学校接收企业、个人和其他组织机构基础研究资金收入，免征企业所得税。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二、第一条所称非营利性科研机构、高等学校包括国家设立的科研机构和高等学校、民办非营利性科研机构和高等学校，具体按以下条件确定：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（一）国家设立的科研机构和高等学校是指利用财政性资金设立的、取得《事业单位法人证书》的科研机构和公办高等学校，包括中央和地方所属科研机构和高等学校。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（二）民办非营利性科研机构和高等学校，是指同时满足以下条件的科研机构和高等学校：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1.根据《民办非企业单位登记管理暂行条例》在民政部门登记，并取得《民办非企业单位（法人）登记证书》。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2.对于民办非营利性科研机构，其《民办非企业单位（法人）登记证书》记载的业务范围应属于科学研究与技术开发、成果转让、科技咨询与服务、科技成果评估范围。对业务范围存在争议的，由税务机关转请县级（含）以上科技行政主管部门确认。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对于民办非营利性高等学校，应取得教育主管部门颁发的《民办学校办学许可证》，记载学校类型为“高等学校”。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3.经认定取得企业所得税非营利组织免税资格。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三、第一条所称政府性自然科学基金是指国家和地方政府设立的自然科学基金委员会管理的自然科学基金。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四、第一条所称基础研究是指通过对事物的特性、结构和相互关系进行分析，从而阐述和检验各种假设、原理和定律的活动。具体依据以下内容判断：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一）基础研究不预设某一特定的应用或使用目的，主要是为获得关于现象和可观察事实的基本原理的新知识，可针对已知或具有前沿性的科学问题，或者针对人们普遍感兴趣的某些广泛领域，以未来广泛应用为目标。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二）基础研究可细分为两种类型，一是自由探索性基础研究，即为了增进知识，不追求经济或社会效益，也不积极谋求将其应用于实际问题或把成果转移到负责应用的部门。二是目标导向（定向）基础研究，旨在获取某方面知识、期望为探索解决当前已知或未来可能发现的问题奠定基础。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三）基础研究成果通常表现为新原理、新理论、新规律或新知识，并以论文、著作、研究报告等形式为主。同时，由于基础研究具有较强的探索性、存在失败的风险，论文、著作、研究报告等也可以体现为试错或证伪等成果。　　　　上述基础研究不包括在境外开展的研究，也不包括社会科学、艺术或人文学方面的研究。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五、企业出资基础研究应签订相关协议或合同，协议或合同中需明确资金用于基础研究领域。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六、企业和非营利性科研机构、高等学校和政府性自然科学基金管理单位应将相关资料留存备查，包括企业出资协议、出资合同、相关票据等，出资协议、出资合同和出资票据应包含出资方、接收方、出资用途（注明用于基础研究）、出资金额等信息。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七、非营利性科研机构、高等学校和政府性自然科学基金管理单位应做好企业投入基础研究的资金管理，建立健全监督机制，确保资金用于基础研究，提高资金使用效率。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八、本公告自2022年1月1日起执行。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特此公告。　　</w:t>
      </w:r>
    </w:p>
    <w:p>
      <w:pPr>
        <w:widowControl/>
        <w:shd w:val="clear" w:color="auto" w:fill="FFFFFF"/>
        <w:ind w:firstLine="480"/>
        <w:jc w:val="right"/>
        <w:rPr>
          <w:rFonts w:hint="eastAsia" w:ascii="宋体" w:hAnsi="宋体" w:eastAsia="宋体" w:cs="宋体"/>
          <w:kern w:val="0"/>
          <w:sz w:val="24"/>
          <w:szCs w:val="24"/>
        </w:rPr>
      </w:pPr>
      <w:r>
        <w:rPr>
          <w:rFonts w:ascii="宋体" w:hAnsi="宋体" w:eastAsia="宋体" w:cs="宋体"/>
          <w:kern w:val="0"/>
          <w:sz w:val="24"/>
          <w:szCs w:val="24"/>
        </w:rPr>
        <w:t>财政部 税务总局</w:t>
      </w:r>
    </w:p>
    <w:p>
      <w:pPr>
        <w:widowControl/>
        <w:shd w:val="clear" w:color="auto" w:fill="FFFFFF"/>
        <w:ind w:firstLine="480"/>
        <w:jc w:val="right"/>
        <w:rPr>
          <w:rFonts w:hint="eastAsia" w:ascii="宋体" w:hAnsi="宋体" w:eastAsia="宋体" w:cs="宋体"/>
          <w:kern w:val="0"/>
          <w:sz w:val="24"/>
          <w:szCs w:val="24"/>
        </w:rPr>
      </w:pPr>
      <w:r>
        <w:rPr>
          <w:rFonts w:ascii="宋体" w:hAnsi="宋体" w:eastAsia="宋体" w:cs="宋体"/>
          <w:kern w:val="0"/>
          <w:sz w:val="24"/>
          <w:szCs w:val="24"/>
        </w:rPr>
        <w:t>2022年9月30日</w:t>
      </w:r>
      <w:r>
        <w:rPr>
          <w:rFonts w:ascii="宋体" w:hAnsi="宋体" w:eastAsia="宋体" w:cs="宋体"/>
          <w:kern w:val="0"/>
          <w:sz w:val="24"/>
          <w:szCs w:val="24"/>
        </w:rPr>
        <w:br w:type="textWrapping"/>
      </w:r>
      <w:r>
        <w:rPr>
          <w:rFonts w:ascii="宋体" w:hAnsi="宋体" w:eastAsia="宋体" w:cs="宋体"/>
          <w:kern w:val="0"/>
          <w:sz w:val="24"/>
          <w:szCs w:val="24"/>
        </w:rPr>
        <w:br w:type="textWrapping"/>
      </w:r>
    </w:p>
    <w:p>
      <w:pPr>
        <w:widowControl/>
        <w:jc w:val="left"/>
        <w:rPr>
          <w:rFonts w:ascii="宋体" w:hAnsi="宋体" w:eastAsia="宋体" w:cs="宋体"/>
          <w:kern w:val="0"/>
          <w:sz w:val="24"/>
          <w:szCs w:val="24"/>
        </w:rPr>
      </w:pPr>
      <w:r>
        <w:rPr>
          <w:rFonts w:ascii="宋体" w:hAnsi="宋体" w:eastAsia="宋体" w:cs="宋体"/>
          <w:kern w:val="0"/>
          <w:sz w:val="24"/>
          <w:szCs w:val="24"/>
        </w:rPr>
        <w:t>（来源：国家税务总局）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4CFA"/>
    <w:rsid w:val="005B4CFA"/>
    <w:rsid w:val="007F4BEB"/>
    <w:rsid w:val="219C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229</Words>
  <Characters>1311</Characters>
  <Lines>10</Lines>
  <Paragraphs>3</Paragraphs>
  <TotalTime>2</TotalTime>
  <ScaleCrop>false</ScaleCrop>
  <LinksUpToDate>false</LinksUpToDate>
  <CharactersWithSpaces>1537</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2022-10-17T08:20:00Z</dcterms:created>
  <dc:creator>ZZGS</dc:creator>
  <cp:lastModifiedBy>陈煜鹏</cp:lastModifiedBy>
  <dcterms:modified xsi:type="dcterms:W3CDTF">2022-10-18T00:47:41Z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