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国家税务总局泉州市税务局2026-2028年12366服务外包项目</w:t>
      </w:r>
      <w:bookmarkEnd w:id="0"/>
    </w:p>
    <w:p>
      <w:pPr>
        <w:widowControl w:val="0"/>
        <w:spacing w:before="0" w:after="0" w:line="360" w:lineRule="auto"/>
        <w:jc w:val="both"/>
        <w:rPr>
          <w:rFonts w:hint="eastAsia" w:ascii="宋体" w:hAnsi="宋体" w:eastAsia="宋体" w:cs="宋体"/>
          <w:kern w:val="2"/>
          <w:sz w:val="32"/>
          <w:szCs w:val="32"/>
          <w:lang w:eastAsia="zh-CN"/>
        </w:rPr>
      </w:pPr>
    </w:p>
    <w:p>
      <w:pPr>
        <w:widowControl w:val="0"/>
        <w:spacing w:before="0" w:after="0" w:line="360" w:lineRule="auto"/>
        <w:jc w:val="both"/>
        <w:rPr>
          <w:rFonts w:ascii="宋体" w:hAnsi="宋体" w:eastAsia="宋体" w:cs="宋体"/>
          <w:kern w:val="2"/>
          <w:sz w:val="32"/>
          <w:szCs w:val="32"/>
          <w:lang w:eastAsia="zh-CN"/>
        </w:rPr>
      </w:pPr>
    </w:p>
    <w:p>
      <w:pPr>
        <w:widowControl w:val="0"/>
        <w:spacing w:before="0" w:after="0" w:line="360" w:lineRule="auto"/>
        <w:jc w:val="both"/>
        <w:rPr>
          <w:rFonts w:hint="eastAsia" w:ascii="宋体" w:hAnsi="宋体" w:eastAsia="宋体" w:cs="宋体"/>
          <w:kern w:val="2"/>
          <w:sz w:val="32"/>
          <w:szCs w:val="32"/>
          <w:lang w:eastAsia="zh-CN"/>
        </w:rPr>
      </w:pPr>
    </w:p>
    <w:p>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2026年02月</w:t>
      </w:r>
      <w:bookmarkEnd w:id="1"/>
    </w:p>
    <w:p>
      <w:pPr>
        <w:spacing w:before="0" w:after="0" w:line="360" w:lineRule="auto"/>
        <w:jc w:val="center"/>
        <w:rPr>
          <w:rFonts w:ascii="宋体" w:hAnsi="宋体" w:eastAsia="宋体" w:cs="宋体"/>
          <w:sz w:val="32"/>
        </w:rPr>
      </w:pPr>
      <w:r>
        <w:br w:type="page"/>
      </w:r>
      <w:r>
        <w:rPr>
          <w:rFonts w:ascii="宋体" w:hAnsi="宋体" w:eastAsia="宋体" w:cs="宋体"/>
          <w:sz w:val="32"/>
        </w:rPr>
        <w:t>目 录</w:t>
      </w:r>
    </w:p>
    <w:p>
      <w:pPr>
        <w:pStyle w:val="7"/>
        <w:tabs>
          <w:tab w:val="right" w:leader="dot" w:pos="9016"/>
        </w:tabs>
        <w:spacing w:before="0" w:after="0" w:line="360" w:lineRule="auto"/>
        <w:rPr>
          <w:rFonts w:asciiTheme="minorHAnsi" w:hAnsiTheme="minorHAnsi"/>
          <w:sz w:val="22"/>
        </w:rPr>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fldChar w:fldCharType="begin"/>
      </w:r>
      <w:r>
        <w:instrText xml:space="preserve"> HYPERLINK \l "_Toc256000000" </w:instrText>
      </w:r>
      <w:r>
        <w:fldChar w:fldCharType="separate"/>
      </w:r>
      <w:r>
        <w:rPr>
          <w:rStyle w:val="11"/>
          <w:rFonts w:ascii="仿宋_GB2312" w:hAnsi="仿宋_GB2312" w:eastAsia="仿宋_GB2312" w:cs="仿宋_GB2312"/>
          <w:kern w:val="36"/>
        </w:rPr>
        <w:t>1项目概述</w:t>
      </w:r>
      <w:r>
        <w:tab/>
      </w:r>
      <w:r>
        <w:fldChar w:fldCharType="begin"/>
      </w:r>
      <w:r>
        <w:instrText xml:space="preserve"> PAGEREF _Toc256000000 \h </w:instrText>
      </w:r>
      <w:r>
        <w:fldChar w:fldCharType="separate"/>
      </w:r>
      <w:r>
        <w:t>3</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"_Toc256000001" </w:instrText>
      </w:r>
      <w:r>
        <w:fldChar w:fldCharType="separate"/>
      </w:r>
      <w:r>
        <w:rPr>
          <w:rStyle w:val="11"/>
          <w:rFonts w:ascii="仿宋_GB2312" w:hAnsi="仿宋_GB2312" w:eastAsia="仿宋_GB2312" w:cs="仿宋_GB2312"/>
        </w:rPr>
        <w:t>1.1项目背景</w:t>
      </w:r>
      <w:r>
        <w:tab/>
      </w:r>
      <w:r>
        <w:fldChar w:fldCharType="begin"/>
      </w:r>
      <w:r>
        <w:instrText xml:space="preserve"> PAGEREF _Toc256000001 \h </w:instrText>
      </w:r>
      <w:r>
        <w:fldChar w:fldCharType="separate"/>
      </w:r>
      <w:r>
        <w:t>3</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"_Toc256000002" </w:instrText>
      </w:r>
      <w:r>
        <w:fldChar w:fldCharType="separate"/>
      </w:r>
      <w:r>
        <w:rPr>
          <w:rStyle w:val="11"/>
          <w:rFonts w:ascii="仿宋_GB2312" w:hAnsi="仿宋_GB2312" w:eastAsia="仿宋_GB2312" w:cs="仿宋_GB2312"/>
        </w:rPr>
        <w:t>1.1.1项目目的、意义及背景</w:t>
      </w:r>
      <w:r>
        <w:tab/>
      </w:r>
      <w:r>
        <w:fldChar w:fldCharType="begin"/>
      </w:r>
      <w:r>
        <w:instrText xml:space="preserve"> PAGEREF _Toc256000002 \h </w:instrText>
      </w:r>
      <w:r>
        <w:fldChar w:fldCharType="separate"/>
      </w:r>
      <w:r>
        <w:t>3</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"_Toc256000003" </w:instrText>
      </w:r>
      <w:r>
        <w:fldChar w:fldCharType="separate"/>
      </w:r>
      <w:r>
        <w:rPr>
          <w:rStyle w:val="11"/>
          <w:rFonts w:ascii="仿宋_GB2312" w:hAnsi="仿宋_GB2312" w:eastAsia="仿宋_GB2312" w:cs="仿宋_GB2312"/>
        </w:rPr>
        <w:t>1.2项目内容</w:t>
      </w:r>
      <w:r>
        <w:tab/>
      </w:r>
      <w:r>
        <w:fldChar w:fldCharType="begin"/>
      </w:r>
      <w:r>
        <w:instrText xml:space="preserve"> PAGEREF _Toc256000003 \h </w:instrText>
      </w:r>
      <w:r>
        <w:fldChar w:fldCharType="separate"/>
      </w:r>
      <w:r>
        <w:t>3</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"_Toc256000004" </w:instrText>
      </w:r>
      <w:r>
        <w:fldChar w:fldCharType="separate"/>
      </w:r>
      <w:r>
        <w:rPr>
          <w:rStyle w:val="11"/>
          <w:rFonts w:ascii="仿宋_GB2312" w:hAnsi="仿宋_GB2312" w:eastAsia="仿宋_GB2312" w:cs="仿宋_GB2312"/>
        </w:rPr>
        <w:t>1.2.1采购内容</w:t>
      </w:r>
      <w:r>
        <w:tab/>
      </w:r>
      <w:r>
        <w:fldChar w:fldCharType="begin"/>
      </w:r>
      <w:r>
        <w:instrText xml:space="preserve"> PAGEREF _Toc256000004 \h </w:instrText>
      </w:r>
      <w:r>
        <w:fldChar w:fldCharType="separate"/>
      </w:r>
      <w:r>
        <w:t>3</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"_Toc256000005" </w:instrText>
      </w:r>
      <w:r>
        <w:fldChar w:fldCharType="separate"/>
      </w:r>
      <w:r>
        <w:rPr>
          <w:rStyle w:val="11"/>
          <w:rFonts w:ascii="仿宋_GB2312" w:hAnsi="仿宋_GB2312" w:eastAsia="仿宋_GB2312" w:cs="仿宋_GB2312"/>
        </w:rPr>
        <w:t>1.2.2项目实施要求</w:t>
      </w:r>
      <w:r>
        <w:tab/>
      </w:r>
      <w:r>
        <w:fldChar w:fldCharType="begin"/>
      </w:r>
      <w:r>
        <w:instrText xml:space="preserve"> PAGEREF _Toc256000005 \h </w:instrText>
      </w:r>
      <w:r>
        <w:fldChar w:fldCharType="separate"/>
      </w:r>
      <w:r>
        <w:t>3</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"_Toc256000006" </w:instrText>
      </w:r>
      <w:r>
        <w:fldChar w:fldCharType="separate"/>
      </w:r>
      <w:r>
        <w:rPr>
          <w:rStyle w:val="11"/>
          <w:rFonts w:ascii="仿宋_GB2312" w:hAnsi="仿宋_GB2312" w:eastAsia="仿宋_GB2312" w:cs="仿宋_GB2312"/>
          <w:kern w:val="36"/>
        </w:rPr>
        <w:t>2投标/响应要求</w:t>
      </w:r>
      <w:r>
        <w:tab/>
      </w:r>
      <w:r>
        <w:fldChar w:fldCharType="begin"/>
      </w:r>
      <w:r>
        <w:instrText xml:space="preserve"> PAGEREF _Toc256000006 \h </w:instrText>
      </w:r>
      <w:r>
        <w:fldChar w:fldCharType="separate"/>
      </w:r>
      <w:r>
        <w:t>3</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"_Toc256000007" </w:instrText>
      </w:r>
      <w:r>
        <w:fldChar w:fldCharType="separate"/>
      </w:r>
      <w:r>
        <w:rPr>
          <w:rStyle w:val="11"/>
          <w:rFonts w:ascii="仿宋_GB2312" w:hAnsi="仿宋_GB2312" w:eastAsia="仿宋_GB2312" w:cs="仿宋_GB2312"/>
        </w:rPr>
        <w:t>2.1对供应商的要求</w:t>
      </w:r>
      <w:r>
        <w:tab/>
      </w:r>
      <w:r>
        <w:fldChar w:fldCharType="begin"/>
      </w:r>
      <w:r>
        <w:instrText xml:space="preserve"> PAGEREF _Toc256000007 \h </w:instrText>
      </w:r>
      <w:r>
        <w:fldChar w:fldCharType="separate"/>
      </w:r>
      <w:r>
        <w:t>3</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"_Toc256000008" </w:instrText>
      </w:r>
      <w:r>
        <w:fldChar w:fldCharType="separate"/>
      </w:r>
      <w:r>
        <w:rPr>
          <w:rStyle w:val="11"/>
          <w:rFonts w:ascii="仿宋_GB2312" w:hAnsi="仿宋_GB2312" w:eastAsia="仿宋_GB2312" w:cs="仿宋_GB2312"/>
        </w:rPr>
        <w:t>2.1.1必备资质</w:t>
      </w:r>
      <w:r>
        <w:tab/>
      </w:r>
      <w:r>
        <w:fldChar w:fldCharType="begin"/>
      </w:r>
      <w:r>
        <w:instrText xml:space="preserve"> PAGEREF _Toc256000008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"_Toc256000009" </w:instrText>
      </w:r>
      <w:r>
        <w:fldChar w:fldCharType="separate"/>
      </w:r>
      <w:r>
        <w:rPr>
          <w:rStyle w:val="11"/>
          <w:rFonts w:ascii="仿宋_GB2312" w:hAnsi="仿宋_GB2312" w:eastAsia="仿宋_GB2312" w:cs="仿宋_GB2312"/>
        </w:rPr>
        <w:t>2.1.2是否允许联合体</w:t>
      </w:r>
      <w:r>
        <w:tab/>
      </w:r>
      <w:r>
        <w:fldChar w:fldCharType="begin"/>
      </w:r>
      <w:r>
        <w:instrText xml:space="preserve"> PAGEREF _Toc256000009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"_Toc256000010" </w:instrText>
      </w:r>
      <w:r>
        <w:fldChar w:fldCharType="separate"/>
      </w:r>
      <w:r>
        <w:rPr>
          <w:rStyle w:val="11"/>
          <w:rFonts w:ascii="仿宋_GB2312" w:hAnsi="仿宋_GB2312" w:eastAsia="仿宋_GB2312" w:cs="仿宋_GB2312"/>
        </w:rPr>
        <w:t>2.1.3是否专门面向中小企业</w:t>
      </w:r>
      <w:r>
        <w:tab/>
      </w:r>
      <w:r>
        <w:fldChar w:fldCharType="begin"/>
      </w:r>
      <w:r>
        <w:instrText xml:space="preserve"> PAGEREF _Toc256000010 \h </w:instrText>
      </w:r>
      <w:r>
        <w:fldChar w:fldCharType="separate"/>
      </w:r>
      <w:r>
        <w:t>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"_Toc256000011" </w:instrText>
      </w:r>
      <w:r>
        <w:fldChar w:fldCharType="separate"/>
      </w:r>
      <w:r>
        <w:rPr>
          <w:rStyle w:val="11"/>
          <w:rFonts w:ascii="仿宋_GB2312" w:hAnsi="仿宋_GB2312" w:eastAsia="仿宋_GB2312" w:cs="仿宋_GB2312"/>
        </w:rPr>
        <w:t>2.2技术部分投标/响应内容</w:t>
      </w:r>
      <w:r>
        <w:tab/>
      </w:r>
      <w:r>
        <w:fldChar w:fldCharType="begin"/>
      </w:r>
      <w:r>
        <w:instrText xml:space="preserve"> PAGEREF _Toc256000011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"_Toc256000012" </w:instrText>
      </w:r>
      <w:r>
        <w:fldChar w:fldCharType="separate"/>
      </w:r>
      <w:r>
        <w:rPr>
          <w:rStyle w:val="11"/>
          <w:rFonts w:ascii="仿宋_GB2312" w:hAnsi="仿宋_GB2312" w:eastAsia="仿宋_GB2312" w:cs="仿宋_GB2312"/>
        </w:rPr>
        <w:t>2.2.1投标/响应方案要求</w:t>
      </w:r>
      <w:r>
        <w:tab/>
      </w:r>
      <w:r>
        <w:fldChar w:fldCharType="begin"/>
      </w:r>
      <w:r>
        <w:instrText xml:space="preserve"> PAGEREF _Toc256000012 \h </w:instrText>
      </w:r>
      <w:r>
        <w:fldChar w:fldCharType="separate"/>
      </w:r>
      <w:r>
        <w:t>4</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"_Toc256000013" </w:instrText>
      </w:r>
      <w:r>
        <w:fldChar w:fldCharType="separate"/>
      </w:r>
      <w:r>
        <w:rPr>
          <w:rStyle w:val="11"/>
          <w:rFonts w:ascii="仿宋_GB2312" w:hAnsi="仿宋_GB2312" w:eastAsia="仿宋_GB2312" w:cs="仿宋_GB2312"/>
          <w:kern w:val="36"/>
        </w:rPr>
        <w:t>3项目需求</w:t>
      </w:r>
      <w:r>
        <w:tab/>
      </w:r>
      <w:r>
        <w:fldChar w:fldCharType="begin"/>
      </w:r>
      <w:r>
        <w:instrText xml:space="preserve"> PAGEREF _Toc256000013 \h </w:instrText>
      </w:r>
      <w:r>
        <w:fldChar w:fldCharType="separate"/>
      </w:r>
      <w:r>
        <w:t>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"_Toc256000014" </w:instrText>
      </w:r>
      <w:r>
        <w:fldChar w:fldCharType="separate"/>
      </w:r>
      <w:r>
        <w:rPr>
          <w:rStyle w:val="11"/>
          <w:rFonts w:ascii="仿宋_GB2312" w:hAnsi="仿宋_GB2312" w:eastAsia="仿宋_GB2312" w:cs="仿宋_GB2312"/>
        </w:rPr>
        <w:t>3.1总体要求</w:t>
      </w:r>
      <w:r>
        <w:tab/>
      </w:r>
      <w:r>
        <w:fldChar w:fldCharType="begin"/>
      </w:r>
      <w:r>
        <w:instrText xml:space="preserve"> PAGEREF _Toc256000014 \h </w:instrText>
      </w:r>
      <w:r>
        <w:fldChar w:fldCharType="separate"/>
      </w:r>
      <w:r>
        <w:t>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"_Toc256000015" </w:instrText>
      </w:r>
      <w:r>
        <w:fldChar w:fldCharType="separate"/>
      </w:r>
      <w:r>
        <w:rPr>
          <w:rStyle w:val="11"/>
          <w:rFonts w:ascii="仿宋_GB2312" w:hAnsi="仿宋_GB2312" w:eastAsia="仿宋_GB2312" w:cs="仿宋_GB2312"/>
        </w:rPr>
        <w:t>3.2服务内容和要求</w:t>
      </w:r>
      <w:r>
        <w:tab/>
      </w:r>
      <w:r>
        <w:fldChar w:fldCharType="begin"/>
      </w:r>
      <w:r>
        <w:instrText xml:space="preserve"> PAGEREF _Toc256000015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"_Toc256000016" </w:instrText>
      </w:r>
      <w:r>
        <w:fldChar w:fldCharType="separate"/>
      </w:r>
      <w:r>
        <w:rPr>
          <w:rStyle w:val="11"/>
          <w:rFonts w:ascii="仿宋_GB2312" w:hAnsi="仿宋_GB2312" w:eastAsia="仿宋_GB2312" w:cs="仿宋_GB2312"/>
        </w:rPr>
        <w:t>3.2.1技术和服务客观指标</w:t>
      </w:r>
      <w:r>
        <w:tab/>
      </w:r>
      <w:r>
        <w:fldChar w:fldCharType="begin"/>
      </w:r>
      <w:r>
        <w:instrText xml:space="preserve"> PAGEREF _Toc256000016 \h </w:instrText>
      </w:r>
      <w:r>
        <w:fldChar w:fldCharType="separate"/>
      </w:r>
      <w:r>
        <w:t>6</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"_Toc256000017" </w:instrText>
      </w:r>
      <w:r>
        <w:fldChar w:fldCharType="separate"/>
      </w:r>
      <w:r>
        <w:rPr>
          <w:rStyle w:val="11"/>
          <w:rFonts w:ascii="仿宋_GB2312" w:hAnsi="仿宋_GB2312" w:eastAsia="仿宋_GB2312" w:cs="仿宋_GB2312"/>
          <w:kern w:val="36"/>
        </w:rPr>
        <w:t>4人员要求</w:t>
      </w:r>
      <w:r>
        <w:tab/>
      </w:r>
      <w:r>
        <w:fldChar w:fldCharType="begin"/>
      </w:r>
      <w:r>
        <w:instrText xml:space="preserve"> PAGEREF _Toc256000017 \h </w:instrText>
      </w:r>
      <w:r>
        <w:fldChar w:fldCharType="separate"/>
      </w:r>
      <w:r>
        <w:t>7</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"_Toc256000018" </w:instrText>
      </w:r>
      <w:r>
        <w:fldChar w:fldCharType="separate"/>
      </w:r>
      <w:r>
        <w:rPr>
          <w:rStyle w:val="11"/>
          <w:rFonts w:ascii="仿宋_GB2312" w:hAnsi="仿宋_GB2312" w:eastAsia="仿宋_GB2312" w:cs="仿宋_GB2312"/>
        </w:rPr>
        <w:t>4.1总体要求</w:t>
      </w:r>
      <w:r>
        <w:tab/>
      </w:r>
      <w:r>
        <w:fldChar w:fldCharType="begin"/>
      </w:r>
      <w:r>
        <w:instrText xml:space="preserve"> PAGEREF _Toc256000018 \h </w:instrText>
      </w:r>
      <w:r>
        <w:fldChar w:fldCharType="separate"/>
      </w:r>
      <w:r>
        <w:t>7</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"_Toc256000019" </w:instrText>
      </w:r>
      <w:r>
        <w:fldChar w:fldCharType="separate"/>
      </w:r>
      <w:r>
        <w:rPr>
          <w:rStyle w:val="11"/>
          <w:rFonts w:ascii="仿宋_GB2312" w:hAnsi="仿宋_GB2312" w:eastAsia="仿宋_GB2312" w:cs="仿宋_GB2312"/>
        </w:rPr>
        <w:t>4.2管理团队</w:t>
      </w:r>
      <w:r>
        <w:tab/>
      </w:r>
      <w:r>
        <w:fldChar w:fldCharType="begin"/>
      </w:r>
      <w:r>
        <w:instrText xml:space="preserve"> PAGEREF _Toc256000019 \h </w:instrText>
      </w:r>
      <w:r>
        <w:fldChar w:fldCharType="separate"/>
      </w:r>
      <w:r>
        <w:t>9</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"_Toc256000020" </w:instrText>
      </w:r>
      <w:r>
        <w:fldChar w:fldCharType="separate"/>
      </w:r>
      <w:r>
        <w:rPr>
          <w:rStyle w:val="11"/>
          <w:rFonts w:ascii="仿宋_GB2312" w:hAnsi="仿宋_GB2312" w:eastAsia="仿宋_GB2312" w:cs="仿宋_GB2312"/>
        </w:rPr>
        <w:t>4.2.1专职现场管理人员</w:t>
      </w:r>
      <w:r>
        <w:tab/>
      </w:r>
      <w:r>
        <w:fldChar w:fldCharType="begin"/>
      </w:r>
      <w:r>
        <w:instrText xml:space="preserve"> PAGEREF _Toc256000020 \h </w:instrText>
      </w:r>
      <w:r>
        <w:fldChar w:fldCharType="separate"/>
      </w:r>
      <w:r>
        <w:t>9</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"_Toc256000021" </w:instrText>
      </w:r>
      <w:r>
        <w:fldChar w:fldCharType="separate"/>
      </w:r>
      <w:r>
        <w:rPr>
          <w:rStyle w:val="11"/>
          <w:rFonts w:ascii="仿宋_GB2312" w:hAnsi="仿宋_GB2312" w:eastAsia="仿宋_GB2312" w:cs="仿宋_GB2312"/>
        </w:rPr>
        <w:t>4.3技术团队</w:t>
      </w:r>
      <w:r>
        <w:tab/>
      </w:r>
      <w:r>
        <w:fldChar w:fldCharType="begin"/>
      </w:r>
      <w:r>
        <w:instrText xml:space="preserve"> PAGEREF _Toc256000021 \h </w:instrText>
      </w:r>
      <w:r>
        <w:fldChar w:fldCharType="separate"/>
      </w:r>
      <w:r>
        <w:t>9</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"_Toc256000022" </w:instrText>
      </w:r>
      <w:r>
        <w:fldChar w:fldCharType="separate"/>
      </w:r>
      <w:r>
        <w:rPr>
          <w:rStyle w:val="11"/>
          <w:rFonts w:ascii="仿宋_GB2312" w:hAnsi="仿宋_GB2312" w:eastAsia="仿宋_GB2312" w:cs="仿宋_GB2312"/>
        </w:rPr>
        <w:t>4.4优选资质/优选指标</w:t>
      </w:r>
      <w:r>
        <w:tab/>
      </w:r>
      <w:r>
        <w:fldChar w:fldCharType="begin"/>
      </w:r>
      <w:r>
        <w:instrText xml:space="preserve"> PAGEREF _Toc256000022 \h </w:instrText>
      </w:r>
      <w:r>
        <w:fldChar w:fldCharType="separate"/>
      </w:r>
      <w:r>
        <w:t>9</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"_Toc256000023" </w:instrText>
      </w:r>
      <w:r>
        <w:fldChar w:fldCharType="separate"/>
      </w:r>
      <w:r>
        <w:rPr>
          <w:rStyle w:val="11"/>
          <w:rFonts w:ascii="仿宋_GB2312" w:hAnsi="仿宋_GB2312" w:eastAsia="仿宋_GB2312" w:cs="仿宋_GB2312"/>
          <w:kern w:val="36"/>
        </w:rPr>
        <w:t>5管理实施要求</w:t>
      </w:r>
      <w:r>
        <w:tab/>
      </w:r>
      <w:r>
        <w:fldChar w:fldCharType="begin"/>
      </w:r>
      <w:r>
        <w:instrText xml:space="preserve"> PAGEREF _Toc256000023 \h </w:instrText>
      </w:r>
      <w:r>
        <w:fldChar w:fldCharType="separate"/>
      </w:r>
      <w:r>
        <w:t>9</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"_Toc256000024" </w:instrText>
      </w:r>
      <w:r>
        <w:fldChar w:fldCharType="separate"/>
      </w:r>
      <w:r>
        <w:rPr>
          <w:rStyle w:val="11"/>
          <w:rFonts w:ascii="仿宋_GB2312" w:hAnsi="仿宋_GB2312" w:eastAsia="仿宋_GB2312" w:cs="仿宋_GB2312"/>
          <w:kern w:val="36"/>
        </w:rPr>
        <w:t>6风险管控要求</w:t>
      </w:r>
      <w:r>
        <w:tab/>
      </w:r>
      <w:r>
        <w:fldChar w:fldCharType="begin"/>
      </w:r>
      <w:r>
        <w:instrText xml:space="preserve"> PAGEREF _Toc256000024 \h </w:instrText>
      </w:r>
      <w:r>
        <w:fldChar w:fldCharType="separate"/>
      </w:r>
      <w:r>
        <w:t>14</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"_Toc256000025" </w:instrText>
      </w:r>
      <w:r>
        <w:fldChar w:fldCharType="separate"/>
      </w:r>
      <w:r>
        <w:rPr>
          <w:rStyle w:val="11"/>
          <w:rFonts w:ascii="仿宋_GB2312" w:hAnsi="仿宋_GB2312" w:eastAsia="仿宋_GB2312" w:cs="仿宋_GB2312"/>
          <w:kern w:val="36"/>
        </w:rPr>
        <w:t>7履约验收要求</w:t>
      </w:r>
      <w:r>
        <w:tab/>
      </w:r>
      <w:r>
        <w:fldChar w:fldCharType="begin"/>
      </w:r>
      <w:r>
        <w:instrText xml:space="preserve"> PAGEREF _Toc256000025 \h </w:instrText>
      </w:r>
      <w:r>
        <w:fldChar w:fldCharType="separate"/>
      </w:r>
      <w:r>
        <w:t>14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"_Toc256000026" </w:instrText>
      </w:r>
      <w:r>
        <w:fldChar w:fldCharType="separate"/>
      </w:r>
      <w:r>
        <w:rPr>
          <w:rStyle w:val="11"/>
          <w:rFonts w:ascii="仿宋_GB2312" w:hAnsi="仿宋_GB2312" w:eastAsia="仿宋_GB2312" w:cs="仿宋_GB2312"/>
        </w:rPr>
        <w:t>7.1总体要求</w:t>
      </w:r>
      <w:r>
        <w:tab/>
      </w:r>
      <w:r>
        <w:fldChar w:fldCharType="begin"/>
      </w:r>
      <w:r>
        <w:instrText xml:space="preserve"> PAGEREF _Toc256000026 \h </w:instrText>
      </w:r>
      <w:r>
        <w:fldChar w:fldCharType="separate"/>
      </w:r>
      <w:r>
        <w:t>14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"_Toc256000027" </w:instrText>
      </w:r>
      <w:r>
        <w:fldChar w:fldCharType="separate"/>
      </w:r>
      <w:r>
        <w:rPr>
          <w:rStyle w:val="11"/>
          <w:rFonts w:ascii="仿宋_GB2312" w:hAnsi="仿宋_GB2312" w:eastAsia="仿宋_GB2312" w:cs="仿宋_GB2312"/>
        </w:rPr>
        <w:t>7.2具体要求</w:t>
      </w:r>
      <w:r>
        <w:tab/>
      </w:r>
      <w:r>
        <w:fldChar w:fldCharType="begin"/>
      </w:r>
      <w:r>
        <w:instrText xml:space="preserve"> PAGEREF _Toc256000027 \h </w:instrText>
      </w:r>
      <w:r>
        <w:fldChar w:fldCharType="separate"/>
      </w:r>
      <w:r>
        <w:t>15</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"_Toc256000028" </w:instrText>
      </w:r>
      <w:r>
        <w:fldChar w:fldCharType="separate"/>
      </w:r>
      <w:r>
        <w:rPr>
          <w:rStyle w:val="11"/>
          <w:rFonts w:ascii="仿宋_GB2312" w:hAnsi="仿宋_GB2312" w:eastAsia="仿宋_GB2312" w:cs="仿宋_GB2312"/>
          <w:kern w:val="36"/>
        </w:rPr>
        <w:t>8其他要求</w:t>
      </w:r>
      <w:r>
        <w:tab/>
      </w:r>
      <w:r>
        <w:fldChar w:fldCharType="begin"/>
      </w:r>
      <w:r>
        <w:instrText xml:space="preserve"> PAGEREF _Toc256000028 \h </w:instrText>
      </w:r>
      <w:r>
        <w:fldChar w:fldCharType="separate"/>
      </w:r>
      <w:r>
        <w:t>16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"_Toc256000029" </w:instrText>
      </w:r>
      <w:r>
        <w:fldChar w:fldCharType="separate"/>
      </w:r>
      <w:r>
        <w:rPr>
          <w:rStyle w:val="11"/>
          <w:rFonts w:ascii="仿宋_GB2312" w:hAnsi="仿宋_GB2312" w:eastAsia="仿宋_GB2312" w:cs="仿宋_GB2312"/>
        </w:rPr>
        <w:t>8.1必备要求</w:t>
      </w:r>
      <w:r>
        <w:tab/>
      </w:r>
      <w:r>
        <w:fldChar w:fldCharType="begin"/>
      </w:r>
      <w:r>
        <w:instrText xml:space="preserve"> PAGEREF _Toc256000029 \h </w:instrText>
      </w:r>
      <w:r>
        <w:fldChar w:fldCharType="separate"/>
      </w:r>
      <w:r>
        <w:t>16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"_Toc256000030" </w:instrText>
      </w:r>
      <w:r>
        <w:fldChar w:fldCharType="separate"/>
      </w:r>
      <w:r>
        <w:rPr>
          <w:rStyle w:val="11"/>
          <w:rFonts w:ascii="仿宋_GB2312" w:hAnsi="仿宋_GB2312" w:eastAsia="仿宋_GB2312" w:cs="仿宋_GB2312"/>
        </w:rPr>
        <w:t>8.1.1通用必备要求</w:t>
      </w:r>
      <w:r>
        <w:tab/>
      </w:r>
      <w:r>
        <w:fldChar w:fldCharType="begin"/>
      </w:r>
      <w:r>
        <w:instrText xml:space="preserve"> PAGEREF _Toc256000030 \h </w:instrText>
      </w:r>
      <w:r>
        <w:fldChar w:fldCharType="separate"/>
      </w:r>
      <w:r>
        <w:t>16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"_Toc256000031" </w:instrText>
      </w:r>
      <w:r>
        <w:fldChar w:fldCharType="separate"/>
      </w:r>
      <w:r>
        <w:rPr>
          <w:rStyle w:val="11"/>
          <w:rFonts w:ascii="仿宋_GB2312" w:hAnsi="仿宋_GB2312" w:eastAsia="仿宋_GB2312" w:cs="仿宋_GB2312"/>
        </w:rPr>
        <w:t>8.2付款安排建议</w:t>
      </w:r>
      <w:r>
        <w:tab/>
      </w:r>
      <w:r>
        <w:fldChar w:fldCharType="begin"/>
      </w:r>
      <w:r>
        <w:instrText xml:space="preserve"> PAGEREF _Toc256000031 \h </w:instrText>
      </w:r>
      <w:r>
        <w:fldChar w:fldCharType="separate"/>
      </w:r>
      <w:r>
        <w:t>17</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"_Toc256000032" </w:instrText>
      </w:r>
      <w:r>
        <w:fldChar w:fldCharType="separate"/>
      </w:r>
      <w:r>
        <w:rPr>
          <w:rStyle w:val="11"/>
          <w:rFonts w:ascii="仿宋_GB2312" w:hAnsi="仿宋_GB2312" w:eastAsia="仿宋_GB2312" w:cs="仿宋_GB2312"/>
        </w:rPr>
        <w:t>8.3其他要求</w:t>
      </w:r>
      <w:r>
        <w:tab/>
      </w:r>
      <w:r>
        <w:fldChar w:fldCharType="begin"/>
      </w:r>
      <w:r>
        <w:instrText xml:space="preserve"> PAGEREF _Toc256000032 \h </w:instrText>
      </w:r>
      <w:r>
        <w:fldChar w:fldCharType="separate"/>
      </w:r>
      <w:r>
        <w:t>17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"_Toc256000033" </w:instrText>
      </w:r>
      <w:r>
        <w:fldChar w:fldCharType="separate"/>
      </w:r>
      <w:r>
        <w:rPr>
          <w:rStyle w:val="11"/>
          <w:rFonts w:ascii="仿宋_GB2312" w:hAnsi="仿宋_GB2312" w:eastAsia="仿宋_GB2312" w:cs="仿宋_GB2312"/>
        </w:rPr>
        <w:t>8.3.1保密要求</w:t>
      </w:r>
      <w:r>
        <w:tab/>
      </w:r>
      <w:r>
        <w:fldChar w:fldCharType="begin"/>
      </w:r>
      <w:r>
        <w:instrText xml:space="preserve"> PAGEREF _Toc256000033 \h </w:instrText>
      </w:r>
      <w:r>
        <w:fldChar w:fldCharType="separate"/>
      </w:r>
      <w:r>
        <w:t>17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"_Toc256000034" </w:instrText>
      </w:r>
      <w:r>
        <w:fldChar w:fldCharType="separate"/>
      </w:r>
      <w:r>
        <w:rPr>
          <w:rStyle w:val="11"/>
          <w:rFonts w:ascii="仿宋_GB2312" w:hAnsi="仿宋_GB2312" w:eastAsia="仿宋_GB2312" w:cs="仿宋_GB2312"/>
        </w:rPr>
        <w:t>8.3.2知识产权要求</w:t>
      </w:r>
      <w:r>
        <w:tab/>
      </w:r>
      <w:r>
        <w:fldChar w:fldCharType="begin"/>
      </w:r>
      <w:r>
        <w:instrText xml:space="preserve"> PAGEREF _Toc256000034 \h </w:instrText>
      </w:r>
      <w:r>
        <w:fldChar w:fldCharType="separate"/>
      </w:r>
      <w:r>
        <w:t>18</w:t>
      </w:r>
      <w:r>
        <w:fldChar w:fldCharType="end"/>
      </w:r>
      <w:r>
        <w:fldChar w:fldCharType="end"/>
      </w:r>
    </w:p>
    <w:p>
      <w:pPr>
        <w:spacing w:before="0" w:after="0" w:line="360" w:lineRule="auto"/>
        <w:jc w:val="left"/>
      </w:pPr>
      <w:r>
        <w:rPr>
          <w:rFonts w:ascii="宋体" w:hAnsi="宋体" w:eastAsia="宋体" w:cs="宋体"/>
          <w:sz w:val="32"/>
        </w:rPr>
        <w:fldChar w:fldCharType="end"/>
      </w:r>
      <w:r>
        <w:br w:type="page"/>
      </w:r>
    </w:p>
    <w:p>
      <w:pPr>
        <w:pStyle w:val="2"/>
        <w:keepNext w:val="0"/>
        <w:spacing w:before="0" w:after="0" w:line="360" w:lineRule="auto"/>
        <w:jc w:val="center"/>
        <w:rPr>
          <w:rFonts w:ascii="仿宋_GB2312" w:hAnsi="仿宋_GB2312" w:eastAsia="仿宋_GB2312" w:cs="仿宋_GB2312"/>
          <w:b/>
          <w:bCs/>
          <w:sz w:val="32"/>
          <w:szCs w:val="32"/>
        </w:rPr>
      </w:pPr>
      <w:bookmarkStart w:id="2" w:name="_Toc256000000"/>
      <w:r>
        <w:rPr>
          <w:rFonts w:ascii="仿宋_GB2312" w:hAnsi="仿宋_GB2312" w:eastAsia="仿宋_GB2312" w:cs="仿宋_GB2312"/>
          <w:kern w:val="36"/>
        </w:rPr>
        <w:t>1项目概述</w:t>
      </w:r>
      <w:bookmarkEnd w:id="2"/>
    </w:p>
    <w:p>
      <w:pPr>
        <w:pStyle w:val="3"/>
        <w:keepNext w:val="0"/>
        <w:spacing w:before="0" w:after="0" w:line="360" w:lineRule="auto"/>
        <w:rPr>
          <w:rFonts w:ascii="仿宋_GB2312" w:hAnsi="仿宋_GB2312" w:eastAsia="仿宋_GB2312" w:cs="仿宋_GB2312"/>
          <w:b/>
          <w:bCs/>
          <w:sz w:val="28"/>
          <w:szCs w:val="28"/>
        </w:rPr>
      </w:pPr>
      <w:bookmarkStart w:id="3" w:name="_Toc256000001"/>
      <w:r>
        <w:rPr>
          <w:rFonts w:ascii="仿宋_GB2312" w:hAnsi="仿宋_GB2312" w:eastAsia="仿宋_GB2312" w:cs="仿宋_GB2312"/>
          <w:i w:val="0"/>
          <w:iCs w:val="0"/>
        </w:rPr>
        <w:t>1.1项目背景</w:t>
      </w:r>
      <w:bookmarkEnd w:id="3"/>
    </w:p>
    <w:p>
      <w:pPr>
        <w:pStyle w:val="4"/>
        <w:keepNext w:val="0"/>
        <w:spacing w:before="0" w:after="0" w:line="360" w:lineRule="auto"/>
        <w:rPr>
          <w:rFonts w:ascii="仿宋_GB2312" w:hAnsi="仿宋_GB2312" w:eastAsia="仿宋_GB2312" w:cs="仿宋_GB2312"/>
          <w:b/>
          <w:bCs/>
          <w:sz w:val="28"/>
          <w:szCs w:val="28"/>
        </w:rPr>
      </w:pPr>
      <w:bookmarkStart w:id="4" w:name="_Toc256000002"/>
      <w:r>
        <w:rPr>
          <w:rFonts w:ascii="仿宋_GB2312" w:hAnsi="仿宋_GB2312" w:eastAsia="仿宋_GB2312" w:cs="仿宋_GB2312"/>
          <w:sz w:val="28"/>
          <w:szCs w:val="28"/>
        </w:rPr>
        <w:t>1.1.1项目目的、意义及背景</w:t>
      </w:r>
      <w:bookmarkEnd w:id="4"/>
    </w:p>
    <w:p>
      <w:pPr>
        <w:pStyle w:val="12"/>
        <w:spacing w:before="0" w:after="0" w:line="360" w:lineRule="auto"/>
        <w:ind w:left="0" w:right="0" w:firstLine="640"/>
        <w:jc w:val="both"/>
        <w:rPr>
          <w:rFonts w:ascii="Calibri" w:hAnsi="Calibri" w:eastAsia="Calibri" w:cs="Calibri"/>
          <w:sz w:val="32"/>
          <w:szCs w:val="32"/>
        </w:rPr>
      </w:pPr>
      <w:r>
        <w:rPr>
          <w:rFonts w:ascii="仿宋_GB2312" w:hAnsi="仿宋_GB2312" w:eastAsia="仿宋_GB2312" w:cs="仿宋_GB2312"/>
          <w:sz w:val="32"/>
          <w:szCs w:val="32"/>
        </w:rPr>
        <w:t>为持续抓好中办、国办印发的《关于进一步深化税收征管改革的意见》落实，继续深入开展“便民办税春风行动”，解决纳税人缴费人急难愁盼问题，保障我局12366纳税缴费服务热线正常运转，我局计划开展新一期12366服务外包项目。</w:t>
      </w:r>
    </w:p>
    <w:p>
      <w:pPr>
        <w:pStyle w:val="3"/>
        <w:keepNext w:val="0"/>
        <w:spacing w:before="0" w:after="0" w:line="360" w:lineRule="auto"/>
        <w:rPr>
          <w:rFonts w:ascii="仿宋_GB2312" w:hAnsi="仿宋_GB2312" w:eastAsia="仿宋_GB2312" w:cs="仿宋_GB2312"/>
          <w:b/>
          <w:bCs/>
          <w:sz w:val="28"/>
          <w:szCs w:val="28"/>
        </w:rPr>
      </w:pPr>
      <w:bookmarkStart w:id="5" w:name="_Toc256000003"/>
      <w:r>
        <w:rPr>
          <w:rFonts w:ascii="仿宋_GB2312" w:hAnsi="仿宋_GB2312" w:eastAsia="仿宋_GB2312" w:cs="仿宋_GB2312"/>
          <w:i w:val="0"/>
          <w:iCs w:val="0"/>
        </w:rPr>
        <w:t>1.2项目内容</w:t>
      </w:r>
      <w:bookmarkEnd w:id="5"/>
    </w:p>
    <w:p>
      <w:pPr>
        <w:pStyle w:val="4"/>
        <w:keepNext w:val="0"/>
        <w:spacing w:before="0" w:after="0" w:line="360" w:lineRule="auto"/>
        <w:rPr>
          <w:rFonts w:ascii="仿宋_GB2312" w:hAnsi="仿宋_GB2312" w:eastAsia="仿宋_GB2312" w:cs="仿宋_GB2312"/>
          <w:b/>
          <w:bCs/>
          <w:sz w:val="28"/>
          <w:szCs w:val="28"/>
        </w:rPr>
      </w:pPr>
      <w:bookmarkStart w:id="6" w:name="_Toc256000004"/>
      <w:r>
        <w:rPr>
          <w:rFonts w:ascii="仿宋_GB2312" w:hAnsi="仿宋_GB2312" w:eastAsia="仿宋_GB2312" w:cs="仿宋_GB2312"/>
          <w:sz w:val="28"/>
          <w:szCs w:val="28"/>
        </w:rPr>
        <w:t>1.2.1采购内容</w:t>
      </w:r>
      <w:bookmarkEnd w:id="6"/>
    </w:p>
    <w:p>
      <w:pPr>
        <w:pStyle w:val="12"/>
        <w:spacing w:before="0" w:after="0" w:line="360" w:lineRule="auto"/>
        <w:ind w:left="0" w:right="0" w:firstLine="640" w:firstLineChars="200"/>
        <w:jc w:val="both"/>
        <w:rPr>
          <w:rFonts w:ascii="Calibri" w:hAnsi="Calibri" w:eastAsia="Calibri" w:cs="Calibri"/>
          <w:sz w:val="32"/>
          <w:szCs w:val="32"/>
        </w:rPr>
      </w:pPr>
      <w:r>
        <w:rPr>
          <w:rFonts w:ascii="仿宋_GB2312" w:hAnsi="仿宋_GB2312" w:eastAsia="仿宋_GB2312" w:cs="仿宋_GB2312"/>
          <w:sz w:val="32"/>
          <w:szCs w:val="32"/>
        </w:rPr>
        <w:t>为进一步优化税收营商环境，响应纳税人缴费人的合理需求诉求，保障泉州市12366热线咨询服务正常运转，泉州市税务局计划开展12366服务外包项目政府采购，采取服务商为主、泉州市税务局为辅的服务外包项目管理模式实施。服务商需提供符合条件的服务团队，按泉州市税务局要求提供税费咨询和税费政策宣传辅导等服务。服务期2年223天。</w:t>
      </w:r>
    </w:p>
    <w:p>
      <w:pPr>
        <w:pStyle w:val="4"/>
        <w:keepNext w:val="0"/>
        <w:spacing w:before="0" w:after="0" w:line="360" w:lineRule="auto"/>
        <w:rPr>
          <w:rFonts w:ascii="仿宋_GB2312" w:hAnsi="仿宋_GB2312" w:eastAsia="仿宋_GB2312" w:cs="仿宋_GB2312"/>
          <w:b/>
          <w:bCs/>
          <w:sz w:val="28"/>
          <w:szCs w:val="28"/>
        </w:rPr>
      </w:pPr>
      <w:bookmarkStart w:id="7" w:name="_Toc256000005"/>
      <w:r>
        <w:rPr>
          <w:rFonts w:ascii="仿宋_GB2312" w:hAnsi="仿宋_GB2312" w:eastAsia="仿宋_GB2312" w:cs="仿宋_GB2312"/>
          <w:sz w:val="28"/>
          <w:szCs w:val="28"/>
        </w:rPr>
        <w:t>1.2.2项目实施要求</w:t>
      </w:r>
      <w:bookmarkEnd w:id="7"/>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1.2.2.1实施范围要求</w:t>
      </w:r>
    </w:p>
    <w:p>
      <w:pPr>
        <w:pStyle w:val="12"/>
        <w:spacing w:before="0" w:after="0" w:line="360" w:lineRule="auto"/>
        <w:ind w:left="0" w:right="0" w:firstLine="560" w:firstLineChars="200"/>
        <w:jc w:val="both"/>
        <w:rPr>
          <w:rFonts w:ascii="Calibri" w:hAnsi="Calibri" w:eastAsia="Calibri" w:cs="Calibri"/>
          <w:sz w:val="32"/>
          <w:szCs w:val="32"/>
        </w:rPr>
      </w:pPr>
      <w:r>
        <w:rPr>
          <w:rFonts w:ascii="仿宋_GB2312" w:hAnsi="仿宋_GB2312" w:eastAsia="仿宋_GB2312" w:cs="仿宋_GB2312"/>
          <w:sz w:val="28"/>
          <w:szCs w:val="28"/>
        </w:rPr>
        <w:t>服务商应在泉州市税务局的指导和要求下，以12366纳税缴费服务热线基本工作流程和作业标准为基础，提供符合条件的服务团队，按泉州市税务局要求提供税费咨询和税费政策宣传辅导等服务。</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1.2.2.2实施时间要求</w:t>
      </w:r>
    </w:p>
    <w:p>
      <w:pPr>
        <w:pStyle w:val="12"/>
        <w:spacing w:before="0" w:after="0" w:line="360" w:lineRule="auto"/>
        <w:ind w:left="0" w:right="0" w:firstLine="640" w:firstLineChars="200"/>
        <w:jc w:val="both"/>
        <w:rPr>
          <w:rFonts w:ascii="Calibri" w:hAnsi="Calibri" w:eastAsia="Calibri" w:cs="Calibri"/>
          <w:sz w:val="21"/>
          <w:szCs w:val="21"/>
        </w:rPr>
      </w:pPr>
      <w:r>
        <w:rPr>
          <w:rFonts w:ascii="仿宋_GB2312" w:hAnsi="仿宋_GB2312" w:eastAsia="仿宋_GB2312" w:cs="仿宋_GB2312"/>
          <w:sz w:val="32"/>
          <w:szCs w:val="32"/>
        </w:rPr>
        <w:t>本项目服务期为2026年5月23日至2028年12月31日（2年223天）</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1.2.2.3实施地点要求</w:t>
      </w:r>
    </w:p>
    <w:p>
      <w:pPr>
        <w:pStyle w:val="12"/>
        <w:spacing w:before="0" w:after="0" w:line="360" w:lineRule="auto"/>
        <w:ind w:left="0" w:right="0" w:firstLine="560" w:firstLineChars="200"/>
        <w:jc w:val="both"/>
        <w:rPr>
          <w:rFonts w:ascii="Calibri" w:hAnsi="Calibri" w:eastAsia="Calibri" w:cs="Calibri"/>
          <w:sz w:val="32"/>
          <w:szCs w:val="32"/>
        </w:rPr>
      </w:pPr>
      <w:r>
        <w:rPr>
          <w:rFonts w:ascii="仿宋_GB2312" w:hAnsi="仿宋_GB2312" w:eastAsia="仿宋_GB2312" w:cs="仿宋_GB2312"/>
          <w:sz w:val="28"/>
          <w:szCs w:val="28"/>
        </w:rPr>
        <w:t>泉州市丰泽区丰泽街552号</w:t>
      </w:r>
    </w:p>
    <w:p>
      <w:pPr>
        <w:pStyle w:val="2"/>
        <w:keepNext w:val="0"/>
        <w:spacing w:before="0" w:after="0" w:line="360" w:lineRule="auto"/>
        <w:jc w:val="center"/>
        <w:rPr>
          <w:rFonts w:ascii="仿宋_GB2312" w:hAnsi="仿宋_GB2312" w:eastAsia="仿宋_GB2312" w:cs="仿宋_GB2312"/>
          <w:b/>
          <w:bCs/>
          <w:sz w:val="32"/>
          <w:szCs w:val="32"/>
        </w:rPr>
      </w:pPr>
      <w:bookmarkStart w:id="8" w:name="_Toc256000006"/>
      <w:r>
        <w:rPr>
          <w:rFonts w:ascii="仿宋_GB2312" w:hAnsi="仿宋_GB2312" w:eastAsia="仿宋_GB2312" w:cs="仿宋_GB2312"/>
          <w:kern w:val="36"/>
        </w:rPr>
        <w:t>2投标/响应要求</w:t>
      </w:r>
      <w:bookmarkEnd w:id="8"/>
    </w:p>
    <w:p>
      <w:pPr>
        <w:pStyle w:val="3"/>
        <w:keepNext w:val="0"/>
        <w:spacing w:before="0" w:after="0" w:line="360" w:lineRule="auto"/>
        <w:rPr>
          <w:rFonts w:ascii="仿宋_GB2312" w:hAnsi="仿宋_GB2312" w:eastAsia="仿宋_GB2312" w:cs="仿宋_GB2312"/>
          <w:b/>
          <w:bCs/>
          <w:sz w:val="28"/>
          <w:szCs w:val="28"/>
        </w:rPr>
      </w:pPr>
      <w:bookmarkStart w:id="9" w:name="_Toc256000007"/>
      <w:r>
        <w:rPr>
          <w:rFonts w:ascii="仿宋_GB2312" w:hAnsi="仿宋_GB2312" w:eastAsia="仿宋_GB2312" w:cs="仿宋_GB2312"/>
          <w:i w:val="0"/>
          <w:iCs w:val="0"/>
        </w:rPr>
        <w:t>2.1对供应商的要求</w:t>
      </w:r>
      <w:bookmarkEnd w:id="9"/>
    </w:p>
    <w:p>
      <w:pPr>
        <w:pStyle w:val="4"/>
        <w:keepNext w:val="0"/>
        <w:spacing w:before="0" w:after="0" w:line="360" w:lineRule="auto"/>
        <w:rPr>
          <w:rFonts w:ascii="仿宋_GB2312" w:hAnsi="仿宋_GB2312" w:eastAsia="仿宋_GB2312" w:cs="仿宋_GB2312"/>
          <w:b/>
          <w:bCs/>
          <w:sz w:val="28"/>
          <w:szCs w:val="28"/>
        </w:rPr>
      </w:pPr>
      <w:bookmarkStart w:id="10" w:name="_Toc256000008"/>
      <w:r>
        <w:rPr>
          <w:rFonts w:ascii="仿宋_GB2312" w:hAnsi="仿宋_GB2312" w:eastAsia="仿宋_GB2312" w:cs="仿宋_GB2312"/>
          <w:sz w:val="28"/>
          <w:szCs w:val="28"/>
        </w:rPr>
        <w:t>2.1.1必备资质</w:t>
      </w:r>
      <w:bookmarkEnd w:id="10"/>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2.1.1.1投标人应遵守有关国家法律、法规和条例,具备《中华人民共和国政府采购法》第二十二条的规定和本文件中规定的条件。</w:t>
      </w:r>
    </w:p>
    <w:p>
      <w:pPr>
        <w:pStyle w:val="4"/>
        <w:keepNext w:val="0"/>
        <w:spacing w:before="0" w:after="0" w:line="360" w:lineRule="auto"/>
        <w:rPr>
          <w:rFonts w:ascii="仿宋_GB2312" w:hAnsi="仿宋_GB2312" w:eastAsia="仿宋_GB2312" w:cs="仿宋_GB2312"/>
          <w:b/>
          <w:bCs/>
          <w:sz w:val="28"/>
          <w:szCs w:val="28"/>
        </w:rPr>
      </w:pPr>
      <w:bookmarkStart w:id="11" w:name="_Toc256000009"/>
      <w:r>
        <w:rPr>
          <w:rFonts w:ascii="仿宋_GB2312" w:hAnsi="仿宋_GB2312" w:eastAsia="仿宋_GB2312" w:cs="仿宋_GB2312"/>
          <w:sz w:val="28"/>
          <w:szCs w:val="28"/>
        </w:rPr>
        <w:t>2.1.2是否允许联合体</w:t>
      </w:r>
      <w:bookmarkEnd w:id="11"/>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否</w:t>
      </w:r>
    </w:p>
    <w:p>
      <w:pPr>
        <w:pStyle w:val="4"/>
        <w:keepNext w:val="0"/>
        <w:spacing w:before="0" w:after="0" w:line="360" w:lineRule="auto"/>
        <w:rPr>
          <w:rFonts w:ascii="仿宋_GB2312" w:hAnsi="仿宋_GB2312" w:eastAsia="仿宋_GB2312" w:cs="仿宋_GB2312"/>
          <w:b/>
          <w:bCs/>
          <w:sz w:val="28"/>
          <w:szCs w:val="28"/>
        </w:rPr>
      </w:pPr>
      <w:bookmarkStart w:id="12" w:name="_Toc256000010"/>
      <w:r>
        <w:rPr>
          <w:rFonts w:ascii="仿宋_GB2312" w:hAnsi="仿宋_GB2312" w:eastAsia="仿宋_GB2312" w:cs="仿宋_GB2312"/>
          <w:sz w:val="28"/>
          <w:szCs w:val="28"/>
        </w:rPr>
        <w:t>2.1.3是否专门面向中小企业</w:t>
      </w:r>
      <w:bookmarkEnd w:id="12"/>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本项目不专门面向中小企业采购项目</w:t>
      </w:r>
    </w:p>
    <w:p>
      <w:pPr>
        <w:pStyle w:val="3"/>
        <w:keepNext w:val="0"/>
        <w:spacing w:before="0" w:after="0" w:line="360" w:lineRule="auto"/>
        <w:rPr>
          <w:rFonts w:ascii="仿宋_GB2312" w:hAnsi="仿宋_GB2312" w:eastAsia="仿宋_GB2312" w:cs="仿宋_GB2312"/>
          <w:b/>
          <w:bCs/>
          <w:sz w:val="28"/>
          <w:szCs w:val="28"/>
        </w:rPr>
      </w:pPr>
      <w:bookmarkStart w:id="13" w:name="_Toc256000011"/>
      <w:r>
        <w:rPr>
          <w:rFonts w:ascii="仿宋_GB2312" w:hAnsi="仿宋_GB2312" w:eastAsia="仿宋_GB2312" w:cs="仿宋_GB2312"/>
          <w:i w:val="0"/>
          <w:iCs w:val="0"/>
        </w:rPr>
        <w:t>2.2技术部分投标/响应内容</w:t>
      </w:r>
      <w:bookmarkEnd w:id="13"/>
    </w:p>
    <w:p>
      <w:pPr>
        <w:pStyle w:val="4"/>
        <w:keepNext w:val="0"/>
        <w:spacing w:before="0" w:after="0" w:line="360" w:lineRule="auto"/>
        <w:rPr>
          <w:rFonts w:ascii="仿宋_GB2312" w:hAnsi="仿宋_GB2312" w:eastAsia="仿宋_GB2312" w:cs="仿宋_GB2312"/>
          <w:b/>
          <w:bCs/>
          <w:sz w:val="28"/>
          <w:szCs w:val="28"/>
        </w:rPr>
      </w:pPr>
      <w:bookmarkStart w:id="14" w:name="_Toc256000012"/>
      <w:r>
        <w:rPr>
          <w:rFonts w:ascii="仿宋_GB2312" w:hAnsi="仿宋_GB2312" w:eastAsia="仿宋_GB2312" w:cs="仿宋_GB2312"/>
          <w:sz w:val="28"/>
          <w:szCs w:val="28"/>
        </w:rPr>
        <w:t>2.2.1投标/响应方案要求</w:t>
      </w:r>
      <w:bookmarkEnd w:id="14"/>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以下相关方案，若作为评审因素，则投标人应在满足★必备指标项要求的前提下，根据项目特点和采购需求，制定更为完整、详细、可操作性强的方案。</w:t>
      </w:r>
    </w:p>
    <w:p>
      <w:pPr>
        <w:pStyle w:val="12"/>
        <w:spacing w:before="0" w:after="0" w:line="360" w:lineRule="auto"/>
        <w:ind w:left="0" w:right="0" w:firstLine="640"/>
        <w:jc w:val="both"/>
        <w:rPr>
          <w:rFonts w:ascii="Calibri" w:hAnsi="Calibri" w:eastAsia="Calibri" w:cs="Calibri"/>
          <w:sz w:val="21"/>
          <w:szCs w:val="21"/>
        </w:rPr>
      </w:pPr>
      <w:r>
        <w:rPr>
          <w:rFonts w:ascii="仿宋_GB2312" w:hAnsi="仿宋_GB2312" w:eastAsia="仿宋_GB2312" w:cs="仿宋_GB2312"/>
          <w:sz w:val="32"/>
          <w:szCs w:val="32"/>
        </w:rPr>
        <w:t>服务商应在投标书中依据业务和能力提供以下方面的方案及内容：</w:t>
      </w:r>
    </w:p>
    <w:p>
      <w:pPr>
        <w:pStyle w:val="12"/>
        <w:spacing w:before="0" w:after="0" w:line="360" w:lineRule="auto"/>
        <w:ind w:left="0" w:right="0" w:firstLine="640"/>
        <w:jc w:val="both"/>
        <w:rPr>
          <w:rFonts w:ascii="Calibri" w:hAnsi="Calibri" w:eastAsia="Calibri" w:cs="Calibri"/>
          <w:sz w:val="21"/>
          <w:szCs w:val="21"/>
        </w:rPr>
      </w:pPr>
      <w:r>
        <w:rPr>
          <w:rFonts w:ascii="仿宋_GB2312" w:hAnsi="仿宋_GB2312" w:eastAsia="仿宋_GB2312" w:cs="仿宋_GB2312"/>
          <w:sz w:val="32"/>
          <w:szCs w:val="32"/>
        </w:rPr>
        <w:t>1.项目需求的理解：投标人应能够充分理解泉州市税务局12366服务外包采购项目的总体需求，在人员、业务、设备、管理制度、运营管理等方面提出服务外包解决方案。</w:t>
      </w:r>
    </w:p>
    <w:p>
      <w:pPr>
        <w:pStyle w:val="12"/>
        <w:spacing w:before="0" w:after="0" w:line="360" w:lineRule="auto"/>
        <w:ind w:left="0" w:right="0" w:firstLine="640"/>
        <w:jc w:val="both"/>
        <w:rPr>
          <w:rFonts w:ascii="Calibri" w:hAnsi="Calibri" w:eastAsia="Calibri" w:cs="Calibri"/>
          <w:sz w:val="21"/>
          <w:szCs w:val="21"/>
        </w:rPr>
      </w:pPr>
      <w:r>
        <w:rPr>
          <w:rFonts w:ascii="仿宋_GB2312" w:hAnsi="仿宋_GB2312" w:eastAsia="仿宋_GB2312" w:cs="仿宋_GB2312"/>
          <w:sz w:val="32"/>
          <w:szCs w:val="32"/>
        </w:rPr>
        <w:t>2.服务团队架构和人员配置方案：一线人员、现场管理支持人员、技术人员相关配置条件。</w:t>
      </w:r>
    </w:p>
    <w:p>
      <w:pPr>
        <w:pStyle w:val="12"/>
        <w:spacing w:before="0" w:after="0" w:line="360" w:lineRule="auto"/>
        <w:ind w:left="0" w:right="0" w:firstLine="640"/>
        <w:jc w:val="both"/>
        <w:rPr>
          <w:rFonts w:ascii="Calibri" w:hAnsi="Calibri" w:eastAsia="Calibri" w:cs="Calibri"/>
          <w:sz w:val="21"/>
          <w:szCs w:val="21"/>
        </w:rPr>
      </w:pPr>
      <w:r>
        <w:rPr>
          <w:rFonts w:ascii="仿宋_GB2312" w:hAnsi="仿宋_GB2312" w:eastAsia="仿宋_GB2312" w:cs="仿宋_GB2312"/>
          <w:sz w:val="32"/>
          <w:szCs w:val="32"/>
        </w:rPr>
        <w:t>3.满足泉州12366服务外包人员管理的各项制度：至少包括岗位工作说明书及工作标准、职业规划、人员入离职管理、考勤及休假管理、奖惩机制、质量监督与管理等6项制度。</w:t>
      </w:r>
    </w:p>
    <w:p>
      <w:pPr>
        <w:pStyle w:val="12"/>
        <w:spacing w:before="0" w:after="0" w:line="360" w:lineRule="auto"/>
        <w:ind w:left="0" w:right="0" w:firstLine="640"/>
        <w:jc w:val="both"/>
        <w:rPr>
          <w:rFonts w:ascii="Calibri" w:hAnsi="Calibri" w:eastAsia="Calibri" w:cs="Calibri"/>
          <w:sz w:val="21"/>
          <w:szCs w:val="21"/>
        </w:rPr>
      </w:pPr>
      <w:r>
        <w:rPr>
          <w:rFonts w:ascii="仿宋_GB2312" w:hAnsi="仿宋_GB2312" w:eastAsia="仿宋_GB2312" w:cs="仿宋_GB2312"/>
          <w:sz w:val="32"/>
          <w:szCs w:val="32"/>
        </w:rPr>
        <w:t>4.人才储备计划：至少包含保障充分的人员补充渠道、满足项目用人需求、确保人员上线率和热线服务质效的措施等。</w:t>
      </w:r>
    </w:p>
    <w:p>
      <w:pPr>
        <w:pStyle w:val="12"/>
        <w:spacing w:before="0" w:after="0" w:line="360" w:lineRule="auto"/>
        <w:ind w:left="0" w:right="0" w:firstLine="640"/>
        <w:jc w:val="both"/>
        <w:rPr>
          <w:rFonts w:ascii="Calibri" w:hAnsi="Calibri" w:eastAsia="Calibri" w:cs="Calibri"/>
          <w:sz w:val="21"/>
          <w:szCs w:val="21"/>
        </w:rPr>
      </w:pPr>
      <w:r>
        <w:rPr>
          <w:rFonts w:ascii="仿宋_GB2312" w:hAnsi="仿宋_GB2312" w:eastAsia="仿宋_GB2312" w:cs="仿宋_GB2312"/>
          <w:sz w:val="32"/>
          <w:szCs w:val="32"/>
        </w:rPr>
        <w:t>5.人员淘汰机制：至少包含培训考试、绩效考核、违纪行为等淘汰机制。</w:t>
      </w:r>
    </w:p>
    <w:p>
      <w:pPr>
        <w:pStyle w:val="12"/>
        <w:spacing w:before="0" w:after="0" w:line="360" w:lineRule="auto"/>
        <w:ind w:left="0" w:right="0" w:firstLine="640"/>
        <w:jc w:val="both"/>
        <w:rPr>
          <w:rFonts w:ascii="Calibri" w:hAnsi="Calibri" w:eastAsia="Calibri" w:cs="Calibri"/>
          <w:sz w:val="21"/>
          <w:szCs w:val="21"/>
        </w:rPr>
      </w:pPr>
      <w:r>
        <w:rPr>
          <w:rFonts w:ascii="仿宋_GB2312" w:hAnsi="仿宋_GB2312" w:eastAsia="仿宋_GB2312" w:cs="仿宋_GB2312"/>
          <w:sz w:val="32"/>
          <w:szCs w:val="32"/>
        </w:rPr>
        <w:t>6.人员排班计划：排班计划科学合理、班次均衡，确保正常工作时段及非正常工作时段（工作日午间12:00-14:30）上线人数足以支撑热线，同时各班次均配备业务支持人员，以保证咨询解答的及时性和准确性。</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32"/>
          <w:szCs w:val="32"/>
        </w:rPr>
        <w:t>    7.现场管理方案：包括但不限于运行管理、业务管理、环境管理、应急管理等。</w:t>
      </w:r>
    </w:p>
    <w:p>
      <w:pPr>
        <w:pStyle w:val="12"/>
        <w:spacing w:before="0" w:after="0" w:line="360" w:lineRule="auto"/>
        <w:ind w:left="0" w:right="0" w:firstLine="640"/>
        <w:jc w:val="both"/>
        <w:rPr>
          <w:rFonts w:ascii="Calibri" w:hAnsi="Calibri" w:eastAsia="Calibri" w:cs="Calibri"/>
          <w:sz w:val="21"/>
          <w:szCs w:val="21"/>
        </w:rPr>
      </w:pPr>
      <w:r>
        <w:rPr>
          <w:rFonts w:ascii="仿宋_GB2312" w:hAnsi="仿宋_GB2312" w:eastAsia="仿宋_GB2312" w:cs="仿宋_GB2312"/>
          <w:sz w:val="32"/>
          <w:szCs w:val="32"/>
        </w:rPr>
        <w:t>8.沟通协调机制：至少包含如何与采购人建立沟通协调机制、如何实现情况互通，如何确保运行管理顺畅的各项措施。</w:t>
      </w:r>
    </w:p>
    <w:p>
      <w:pPr>
        <w:pStyle w:val="12"/>
        <w:spacing w:before="0" w:after="0" w:line="360" w:lineRule="auto"/>
        <w:ind w:left="0" w:right="0" w:firstLine="640"/>
        <w:jc w:val="both"/>
        <w:rPr>
          <w:rFonts w:ascii="Calibri" w:hAnsi="Calibri" w:eastAsia="Calibri" w:cs="Calibri"/>
          <w:sz w:val="21"/>
          <w:szCs w:val="21"/>
        </w:rPr>
      </w:pPr>
      <w:r>
        <w:rPr>
          <w:rFonts w:ascii="仿宋_GB2312" w:hAnsi="仿宋_GB2312" w:eastAsia="仿宋_GB2312" w:cs="仿宋_GB2312"/>
          <w:sz w:val="32"/>
          <w:szCs w:val="32"/>
        </w:rPr>
        <w:t>9.人员培训方案:至少包含岗前培训、日常培训、专项培训、分组培训、培训师资配置、培训形式、培训时长及测试要求。</w:t>
      </w:r>
    </w:p>
    <w:p>
      <w:pPr>
        <w:pStyle w:val="12"/>
        <w:spacing w:before="0" w:after="0" w:line="360" w:lineRule="auto"/>
        <w:ind w:left="0" w:right="0" w:firstLine="640"/>
        <w:jc w:val="both"/>
        <w:rPr>
          <w:rFonts w:ascii="Calibri" w:hAnsi="Calibri" w:eastAsia="Calibri" w:cs="Calibri"/>
          <w:sz w:val="21"/>
          <w:szCs w:val="21"/>
        </w:rPr>
      </w:pPr>
      <w:r>
        <w:rPr>
          <w:rFonts w:ascii="仿宋_GB2312" w:hAnsi="仿宋_GB2312" w:eastAsia="仿宋_GB2312" w:cs="仿宋_GB2312"/>
          <w:sz w:val="32"/>
          <w:szCs w:val="32"/>
        </w:rPr>
        <w:t>10.话务质检方案：至少包含质检范围、质检标准与内容、质检方式与频率、质检结果运用等。</w:t>
      </w:r>
    </w:p>
    <w:p>
      <w:pPr>
        <w:pStyle w:val="12"/>
        <w:spacing w:before="0" w:after="0" w:line="360" w:lineRule="auto"/>
        <w:ind w:left="0" w:right="0" w:firstLine="640"/>
        <w:jc w:val="both"/>
        <w:rPr>
          <w:rFonts w:ascii="Calibri" w:hAnsi="Calibri" w:eastAsia="Calibri" w:cs="Calibri"/>
          <w:sz w:val="21"/>
          <w:szCs w:val="21"/>
        </w:rPr>
      </w:pPr>
      <w:r>
        <w:rPr>
          <w:rFonts w:ascii="仿宋_GB2312" w:hAnsi="仿宋_GB2312" w:eastAsia="仿宋_GB2312" w:cs="仿宋_GB2312"/>
          <w:sz w:val="32"/>
          <w:szCs w:val="32"/>
        </w:rPr>
        <w:t>11.制定设备保障响应方案：方案中须承诺对工作设备及时进行维护和响应，保证设备的稳定和服务不间断，工作电脑的可用率不低于95%，对于故障设备，更换时限不超过5个工作日。</w:t>
      </w:r>
    </w:p>
    <w:p>
      <w:pPr>
        <w:pStyle w:val="12"/>
        <w:spacing w:before="0" w:after="0" w:line="360" w:lineRule="auto"/>
        <w:ind w:left="0" w:right="0" w:firstLine="640"/>
        <w:jc w:val="both"/>
        <w:rPr>
          <w:rFonts w:ascii="Calibri" w:hAnsi="Calibri" w:eastAsia="Calibri" w:cs="Calibri"/>
          <w:sz w:val="21"/>
          <w:szCs w:val="21"/>
        </w:rPr>
      </w:pPr>
      <w:r>
        <w:rPr>
          <w:rFonts w:ascii="仿宋_GB2312" w:hAnsi="仿宋_GB2312" w:eastAsia="仿宋_GB2312" w:cs="仿宋_GB2312"/>
          <w:sz w:val="32"/>
          <w:szCs w:val="32"/>
        </w:rPr>
        <w:t>12.信息安全保密工作方案：包括但不限于需求中对保密工作的具体要求，涵盖人员、设备、数据、内控等方面。</w:t>
      </w:r>
    </w:p>
    <w:p>
      <w:pPr>
        <w:pStyle w:val="13"/>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13.保障服务团队活动的方案。</w:t>
      </w:r>
    </w:p>
    <w:p>
      <w:pPr>
        <w:pStyle w:val="12"/>
        <w:spacing w:before="0" w:after="0" w:line="360" w:lineRule="auto"/>
        <w:ind w:left="0" w:right="0" w:firstLine="640"/>
        <w:jc w:val="both"/>
        <w:rPr>
          <w:rFonts w:ascii="Calibri" w:hAnsi="Calibri" w:eastAsia="Calibri" w:cs="Calibri"/>
          <w:sz w:val="21"/>
          <w:szCs w:val="21"/>
        </w:rPr>
      </w:pPr>
      <w:r>
        <w:rPr>
          <w:rFonts w:ascii="Calibri" w:hAnsi="Calibri" w:eastAsia="Calibri" w:cs="Calibri"/>
          <w:sz w:val="21"/>
          <w:szCs w:val="21"/>
        </w:rPr>
        <w:t> </w:t>
      </w:r>
    </w:p>
    <w:p>
      <w:pPr>
        <w:pStyle w:val="2"/>
        <w:keepNext w:val="0"/>
        <w:spacing w:before="0" w:after="0" w:line="360" w:lineRule="auto"/>
        <w:jc w:val="center"/>
        <w:rPr>
          <w:rFonts w:ascii="仿宋_GB2312" w:hAnsi="仿宋_GB2312" w:eastAsia="仿宋_GB2312" w:cs="仿宋_GB2312"/>
          <w:b/>
          <w:bCs/>
          <w:sz w:val="32"/>
          <w:szCs w:val="32"/>
        </w:rPr>
      </w:pPr>
      <w:bookmarkStart w:id="15" w:name="_Toc256000013"/>
      <w:r>
        <w:rPr>
          <w:rFonts w:ascii="仿宋_GB2312" w:hAnsi="仿宋_GB2312" w:eastAsia="仿宋_GB2312" w:cs="仿宋_GB2312"/>
          <w:kern w:val="36"/>
        </w:rPr>
        <w:t>3项目需求</w:t>
      </w:r>
      <w:bookmarkEnd w:id="15"/>
    </w:p>
    <w:p>
      <w:pPr>
        <w:pStyle w:val="3"/>
        <w:keepNext w:val="0"/>
        <w:spacing w:before="0" w:after="0" w:line="360" w:lineRule="auto"/>
        <w:rPr>
          <w:rFonts w:ascii="仿宋_GB2312" w:hAnsi="仿宋_GB2312" w:eastAsia="仿宋_GB2312" w:cs="仿宋_GB2312"/>
          <w:b/>
          <w:bCs/>
          <w:sz w:val="28"/>
          <w:szCs w:val="28"/>
        </w:rPr>
      </w:pPr>
      <w:bookmarkStart w:id="16" w:name="_Toc256000014"/>
      <w:r>
        <w:rPr>
          <w:rFonts w:ascii="仿宋_GB2312" w:hAnsi="仿宋_GB2312" w:eastAsia="仿宋_GB2312" w:cs="仿宋_GB2312"/>
          <w:i w:val="0"/>
          <w:iCs w:val="0"/>
        </w:rPr>
        <w:t>3.1总体要求</w:t>
      </w:r>
      <w:bookmarkEnd w:id="16"/>
    </w:p>
    <w:p>
      <w:pPr>
        <w:pStyle w:val="13"/>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28"/>
          <w:szCs w:val="28"/>
        </w:rPr>
        <w:t>本项目采购目标系为国家税务总局泉州市税务局12366纳税缴费服务热线（以下简称“泉州12366”）提供符合条件的服务团队，为纳税人缴费人提供优质高效的税费咨询和税费政策宣传辅导等服务。中标人需按照采购人的要求安排不少于40人的队伍，满足提供咨询服务和宣传辅导的需求。</w:t>
      </w:r>
    </w:p>
    <w:p>
      <w:pPr>
        <w:pStyle w:val="3"/>
        <w:keepNext w:val="0"/>
        <w:spacing w:before="0" w:after="0" w:line="360" w:lineRule="auto"/>
        <w:rPr>
          <w:rFonts w:ascii="仿宋_GB2312" w:hAnsi="仿宋_GB2312" w:eastAsia="仿宋_GB2312" w:cs="仿宋_GB2312"/>
          <w:b/>
          <w:bCs/>
          <w:sz w:val="28"/>
          <w:szCs w:val="28"/>
        </w:rPr>
      </w:pPr>
      <w:bookmarkStart w:id="17" w:name="_Toc256000015"/>
      <w:r>
        <w:rPr>
          <w:rFonts w:ascii="仿宋_GB2312" w:hAnsi="仿宋_GB2312" w:eastAsia="仿宋_GB2312" w:cs="仿宋_GB2312"/>
          <w:i w:val="0"/>
          <w:iCs w:val="0"/>
        </w:rPr>
        <w:t>3.2服务内容和要求</w:t>
      </w:r>
      <w:bookmarkEnd w:id="17"/>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采购文件（技术部分）中有标注★号的，为必备要求，必须满足，如未作出响应，将导致响应无效；#为重要内容、△为一般内容。</w:t>
      </w:r>
    </w:p>
    <w:p>
      <w:pPr>
        <w:pStyle w:val="4"/>
        <w:keepNext w:val="0"/>
        <w:spacing w:before="0" w:after="0" w:line="360" w:lineRule="auto"/>
        <w:rPr>
          <w:rFonts w:ascii="仿宋_GB2312" w:hAnsi="仿宋_GB2312" w:eastAsia="仿宋_GB2312" w:cs="仿宋_GB2312"/>
          <w:b/>
          <w:bCs/>
          <w:sz w:val="28"/>
          <w:szCs w:val="28"/>
        </w:rPr>
      </w:pPr>
      <w:bookmarkStart w:id="18" w:name="_Toc256000016"/>
      <w:r>
        <w:rPr>
          <w:rFonts w:ascii="仿宋_GB2312" w:hAnsi="仿宋_GB2312" w:eastAsia="仿宋_GB2312" w:cs="仿宋_GB2312"/>
          <w:sz w:val="28"/>
          <w:szCs w:val="28"/>
        </w:rPr>
        <w:t>3.2.1技术和服务客观指标</w:t>
      </w:r>
      <w:bookmarkEnd w:id="18"/>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3.2.1.1服务内容</w:t>
      </w:r>
    </w:p>
    <w:p>
      <w:pPr>
        <w:pStyle w:val="14"/>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28"/>
          <w:szCs w:val="28"/>
        </w:rPr>
        <w:t>中标人应在采购人的指导和要求下，以12366纳税缴费服务热线基本工作流程和作业标准为基础，提供符合条件的服务团队，为纳税人缴费人提供优质高效的税费咨询和税费政策宣传辅导等服务。</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3.2.1.2设备要求</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中标人提供必要的工作设备并自行维护，同时提供必需的耗材及办公用品。主要设备配置及保障要求如下：</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①配置工作电脑及设备。中标人需要为每位服务团队人员配置2台符合工作要求的电脑、1套网络电话机、话务耳机、电脑摄像头等设备。</w:t>
      </w:r>
    </w:p>
    <w:p>
      <w:pPr>
        <w:pStyle w:val="12"/>
        <w:spacing w:before="0" w:after="0" w:line="360" w:lineRule="auto"/>
        <w:ind w:left="0" w:right="0" w:firstLine="560"/>
        <w:rPr>
          <w:sz w:val="32"/>
          <w:szCs w:val="32"/>
        </w:rPr>
      </w:pPr>
      <w:r>
        <w:rPr>
          <w:rFonts w:ascii="仿宋_GB2312" w:hAnsi="仿宋_GB2312" w:eastAsia="仿宋_GB2312" w:cs="仿宋_GB2312"/>
          <w:sz w:val="28"/>
          <w:szCs w:val="28"/>
        </w:rPr>
        <w:t>由于12366热线系统为国家税务总局统一开发部署于税务专网的应用系统，若今后上级局对工作电脑有具体要求或者因工作需要需额外配备符合业务需求的电脑及设备的，中标人须无条件及时予以更换或配置。  </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②配置打印机、碎纸机。办公场所需配置符合工作要求的激光双面打印机2台、碎纸机1台。</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③中标人需对工作设备进行维护和响应，保证设备的稳定和服务不间断，工作电脑及设备的可用率不低于95%，对于出现故障的设备，更换时间不超过5个工作日。</w:t>
      </w:r>
    </w:p>
    <w:p>
      <w:pPr>
        <w:pStyle w:val="2"/>
        <w:keepNext w:val="0"/>
        <w:spacing w:before="0" w:after="0" w:line="360" w:lineRule="auto"/>
        <w:jc w:val="center"/>
        <w:rPr>
          <w:rFonts w:ascii="仿宋_GB2312" w:hAnsi="仿宋_GB2312" w:eastAsia="仿宋_GB2312" w:cs="仿宋_GB2312"/>
          <w:b/>
          <w:bCs/>
          <w:sz w:val="32"/>
          <w:szCs w:val="32"/>
        </w:rPr>
      </w:pPr>
      <w:bookmarkStart w:id="19" w:name="_Toc256000017"/>
      <w:r>
        <w:rPr>
          <w:rFonts w:ascii="仿宋_GB2312" w:hAnsi="仿宋_GB2312" w:eastAsia="仿宋_GB2312" w:cs="仿宋_GB2312"/>
          <w:kern w:val="36"/>
        </w:rPr>
        <w:t>4人员要求</w:t>
      </w:r>
      <w:bookmarkEnd w:id="19"/>
    </w:p>
    <w:p>
      <w:pPr>
        <w:pStyle w:val="3"/>
        <w:keepNext w:val="0"/>
        <w:spacing w:before="0" w:after="0" w:line="360" w:lineRule="auto"/>
        <w:rPr>
          <w:rFonts w:ascii="仿宋_GB2312" w:hAnsi="仿宋_GB2312" w:eastAsia="仿宋_GB2312" w:cs="仿宋_GB2312"/>
          <w:b/>
          <w:bCs/>
          <w:sz w:val="28"/>
          <w:szCs w:val="28"/>
        </w:rPr>
      </w:pPr>
      <w:bookmarkStart w:id="20" w:name="_Toc256000018"/>
      <w:r>
        <w:rPr>
          <w:rFonts w:ascii="仿宋_GB2312" w:hAnsi="仿宋_GB2312" w:eastAsia="仿宋_GB2312" w:cs="仿宋_GB2312"/>
          <w:i w:val="0"/>
          <w:iCs w:val="0"/>
        </w:rPr>
        <w:t>4.1总体要求</w:t>
      </w:r>
      <w:bookmarkEnd w:id="20"/>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1.服务团队人员要求</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中标人需按照采购人的要求安排不少于40人的队伍，满足提供咨询服务和宣传辅导的需求。</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（1）人员应具备以下条件</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①年龄原则上不超过35周岁（截至2025年12月31日）；懂闽南话者优先考虑。</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②普通话达二级乙等（含）以上（在合同期内达成即可）；</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③汉字录入速度不低于80 字/分钟；</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④具备较强的服务意识和语言表达能力、良好的沟通能力、记忆能力、心理承受能力和学习能力；</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⑤身体健康。</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有相关工作经验者，经采购人审核把关后，可适当放宽条件。</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（2）人才储备</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中标人应按本项目要求，针对本项目服务团队人员需求的波动及泉州 12366 正常的人员流失率等情况，制定人才储备计划，保障充分的人员补充渠道，满足项目用人需求，确保人员上线率和服务质效。</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（3）人员到位</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①中标人对服务团队人员进行岗前培训，经采购人测试合格后于合同生效之日上岗；</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②服务团队人员变动或因连续超过10个工作日的假期需要补充人员的，中标人需在出现上述情况后的7个工作日内完成招聘。</w:t>
      </w:r>
    </w:p>
    <w:p>
      <w:pPr>
        <w:pStyle w:val="14"/>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28"/>
          <w:szCs w:val="28"/>
        </w:rPr>
        <w:t>③中标人要做好泉州12366原来的服务外包合同衔接期的平稳过渡工作，保证泉州12366平稳、正常、有序运转。</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（4）人员管理</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①为便于现场管理，需配备2名专职现场管理人员负责本项目现场管理。具体负责人员的出勤、培训、服务质检，提高服务团队人员应答能力及服务品质；负责对人员的月度绩效考核；负责与采购人进行协调沟通；负责每月将运行报告、薪酬支付情况、热点问题专题分析等材料书面反馈采购人，完成采购人交办的其他工作。</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②采购人不提供食宿，中标人应按规定支付服务团队人员工资薪金、五险一金、伙食补助、防暑降温、加班补助、过节费、人身意外险等，服务团队人员工资水平应符合相关法律法规规定。</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③采购人对以下几种情形，有提出撤换人员的权利。中标人应按采购人要求进行撤换，并在采购人指定时间内完成。</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一是对于连续三个月无正当理由考核成绩位于服务团队人员考核成绩中倒数三名的；</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二是违反采购人机关管理、工作制度、安全、保密等相关规定和12366管理规定，拒不接受教育、改正的；</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三是被上级主管部门、各级地方政府通报批评的或严重影响税务形象的；</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四是在一个工作年度内，被投诉三次以上的（含三次）；</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五是经过岗前测试不合格且补考后仍不符合岗位要求的；</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六是因个人身体原因，不适合服务岗位的；</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七是其它影响工作的情形。</w:t>
      </w:r>
    </w:p>
    <w:p>
      <w:pPr>
        <w:pStyle w:val="15"/>
        <w:spacing w:before="0" w:after="0" w:line="360" w:lineRule="auto"/>
        <w:ind w:left="0" w:right="0" w:firstLine="560"/>
        <w:jc w:val="both"/>
        <w:rPr>
          <w:sz w:val="32"/>
          <w:szCs w:val="32"/>
        </w:rPr>
      </w:pPr>
      <w:r>
        <w:rPr>
          <w:rFonts w:ascii="仿宋_GB2312" w:hAnsi="仿宋_GB2312" w:eastAsia="仿宋_GB2312" w:cs="仿宋_GB2312"/>
          <w:color w:val="000000"/>
          <w:sz w:val="28"/>
          <w:szCs w:val="28"/>
        </w:rPr>
        <w:t>④中标人不得随意更换服务团队人员，如需更换服务团队人员，应提前一个月通知采购人，并安排好替代人员，确保人员办理完毕交接手续方可离岗。新的服务团队人员需经过采购人审核相关资质后方可上岗。</w:t>
      </w:r>
    </w:p>
    <w:p>
      <w:pPr>
        <w:pStyle w:val="3"/>
        <w:keepNext w:val="0"/>
        <w:spacing w:before="0" w:after="0" w:line="360" w:lineRule="auto"/>
        <w:rPr>
          <w:rFonts w:ascii="仿宋_GB2312" w:hAnsi="仿宋_GB2312" w:eastAsia="仿宋_GB2312" w:cs="仿宋_GB2312"/>
          <w:b/>
          <w:bCs/>
          <w:sz w:val="28"/>
          <w:szCs w:val="28"/>
        </w:rPr>
      </w:pPr>
      <w:bookmarkStart w:id="21" w:name="_Toc256000019"/>
      <w:r>
        <w:rPr>
          <w:rFonts w:ascii="仿宋_GB2312" w:hAnsi="仿宋_GB2312" w:eastAsia="仿宋_GB2312" w:cs="仿宋_GB2312"/>
          <w:i w:val="0"/>
          <w:iCs w:val="0"/>
        </w:rPr>
        <w:t>4.2管理团队</w:t>
      </w:r>
      <w:bookmarkEnd w:id="21"/>
    </w:p>
    <w:p>
      <w:pPr>
        <w:pStyle w:val="4"/>
        <w:keepNext w:val="0"/>
        <w:spacing w:before="0" w:after="0" w:line="360" w:lineRule="auto"/>
        <w:rPr>
          <w:rFonts w:ascii="仿宋_GB2312" w:hAnsi="仿宋_GB2312" w:eastAsia="仿宋_GB2312" w:cs="仿宋_GB2312"/>
          <w:b/>
          <w:bCs/>
          <w:sz w:val="28"/>
          <w:szCs w:val="28"/>
        </w:rPr>
      </w:pPr>
      <w:bookmarkStart w:id="22" w:name="_Toc256000020"/>
      <w:r>
        <w:rPr>
          <w:rFonts w:ascii="仿宋_GB2312" w:hAnsi="仿宋_GB2312" w:eastAsia="仿宋_GB2312" w:cs="仿宋_GB2312"/>
          <w:sz w:val="28"/>
          <w:szCs w:val="28"/>
        </w:rPr>
        <w:t>4.2.1专职现场管理人员</w:t>
      </w:r>
      <w:bookmarkEnd w:id="22"/>
    </w:p>
    <w:p>
      <w:pPr>
        <w:pStyle w:val="12"/>
        <w:spacing w:before="0" w:after="0" w:line="360" w:lineRule="auto"/>
        <w:ind w:left="0" w:right="0" w:firstLine="560" w:firstLineChars="200"/>
        <w:jc w:val="both"/>
        <w:rPr>
          <w:sz w:val="32"/>
          <w:szCs w:val="32"/>
        </w:rPr>
      </w:pPr>
      <w:r>
        <w:rPr>
          <w:rFonts w:ascii="仿宋_GB2312" w:hAnsi="仿宋_GB2312" w:eastAsia="仿宋_GB2312" w:cs="仿宋_GB2312"/>
          <w:sz w:val="28"/>
          <w:szCs w:val="28"/>
        </w:rPr>
        <w:t>为便于现场管理，需配备2名专职现场管理人员负责本项目现场管理。具体负责人员的出勤、培训、服务质检，提高服务团队人员应答能力及服务品质；负责对人员的月度绩效考核；负责与采购人进行协调沟通；负责每月将运行报告、薪酬支付情况、热点问题专题分析等材料书面反馈采购人，完成采购人交办的其他工作。</w:t>
      </w:r>
    </w:p>
    <w:p>
      <w:pPr>
        <w:pStyle w:val="3"/>
        <w:keepNext w:val="0"/>
        <w:spacing w:before="0" w:after="0" w:line="360" w:lineRule="auto"/>
        <w:rPr>
          <w:rFonts w:ascii="仿宋_GB2312" w:hAnsi="仿宋_GB2312" w:eastAsia="仿宋_GB2312" w:cs="仿宋_GB2312"/>
          <w:b/>
          <w:bCs/>
          <w:sz w:val="28"/>
          <w:szCs w:val="28"/>
        </w:rPr>
      </w:pPr>
      <w:bookmarkStart w:id="23" w:name="_Toc256000021"/>
      <w:r>
        <w:rPr>
          <w:rFonts w:ascii="仿宋_GB2312" w:hAnsi="仿宋_GB2312" w:eastAsia="仿宋_GB2312" w:cs="仿宋_GB2312"/>
          <w:i w:val="0"/>
          <w:iCs w:val="0"/>
        </w:rPr>
        <w:t>4.3技术团队</w:t>
      </w:r>
      <w:bookmarkEnd w:id="23"/>
    </w:p>
    <w:p>
      <w:pPr>
        <w:pStyle w:val="12"/>
        <w:spacing w:before="0" w:after="0" w:line="360" w:lineRule="auto"/>
        <w:ind w:left="0" w:right="0" w:firstLine="560" w:firstLineChars="200"/>
        <w:jc w:val="both"/>
        <w:rPr>
          <w:sz w:val="32"/>
          <w:szCs w:val="32"/>
        </w:rPr>
      </w:pPr>
      <w:bookmarkStart w:id="37" w:name="_GoBack"/>
      <w:bookmarkEnd w:id="37"/>
      <w:r>
        <w:rPr>
          <w:rFonts w:ascii="仿宋_GB2312" w:hAnsi="仿宋_GB2312" w:eastAsia="仿宋_GB2312" w:cs="仿宋_GB2312"/>
          <w:sz w:val="28"/>
          <w:szCs w:val="28"/>
        </w:rPr>
        <w:t>中标人需对工作设备进行维护和响应，保证设备的稳定和服务不间断，工作电脑及设备的可用率不低于95%，对于出现故障的设备，更换时间不超过5个工作日。</w:t>
      </w:r>
    </w:p>
    <w:p>
      <w:pPr>
        <w:pStyle w:val="3"/>
        <w:keepNext w:val="0"/>
        <w:spacing w:before="0" w:after="0" w:line="360" w:lineRule="auto"/>
        <w:rPr>
          <w:rFonts w:ascii="仿宋_GB2312" w:hAnsi="仿宋_GB2312" w:eastAsia="仿宋_GB2312" w:cs="仿宋_GB2312"/>
          <w:b/>
          <w:bCs/>
          <w:sz w:val="28"/>
          <w:szCs w:val="28"/>
        </w:rPr>
      </w:pPr>
      <w:bookmarkStart w:id="24" w:name="_Toc256000022"/>
      <w:r>
        <w:rPr>
          <w:rFonts w:ascii="仿宋_GB2312" w:hAnsi="仿宋_GB2312" w:eastAsia="仿宋_GB2312" w:cs="仿宋_GB2312"/>
          <w:i w:val="0"/>
          <w:iCs w:val="0"/>
        </w:rPr>
        <w:t>4.4优选资质/优选指标</w:t>
      </w:r>
      <w:bookmarkEnd w:id="24"/>
    </w:p>
    <w:p>
      <w:pPr>
        <w:pStyle w:val="2"/>
        <w:keepNext w:val="0"/>
        <w:spacing w:before="0" w:after="0" w:line="360" w:lineRule="auto"/>
        <w:jc w:val="center"/>
        <w:rPr>
          <w:rFonts w:ascii="仿宋_GB2312" w:hAnsi="仿宋_GB2312" w:eastAsia="仿宋_GB2312" w:cs="仿宋_GB2312"/>
          <w:b/>
          <w:bCs/>
          <w:sz w:val="32"/>
          <w:szCs w:val="32"/>
        </w:rPr>
      </w:pPr>
      <w:bookmarkStart w:id="25" w:name="_Toc256000023"/>
      <w:r>
        <w:rPr>
          <w:rFonts w:ascii="仿宋_GB2312" w:hAnsi="仿宋_GB2312" w:eastAsia="仿宋_GB2312" w:cs="仿宋_GB2312"/>
          <w:kern w:val="36"/>
        </w:rPr>
        <w:t>5管理实施要求</w:t>
      </w:r>
      <w:bookmarkEnd w:id="25"/>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（一）日常管理</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1.中标人应在采购人的指导和要求下，以12366纳税缴费服务热线基本工作流程和作业标准为基础，按照泉州12366业务规范及流程操作。</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2.中标人需配合采购人做好专项工作保障。对于采购人组织的宣传、展示等重要专项工作，中标人应根据采购人要求提供服务技术支持与保障。</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3.服务团队人员在正常工作时间内（工作日上午8点到下午5点30分），提供本项目服务内容。中标人须提交人员排班计划，排班计划要求科学合理。如因特别业务需求，需要临时在正常工作时间之外提供人工接听或网络咨询服务等工作的，由中标人通过排班调整等方式，安排人员提供，不另外收费。</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4.中标人需配备具有税费知识及实操经验的自有培训师资，每月至少开展2次专项培训、2次分组培训（其中包括服务规范培训），每月制定培训方案并做好情况记录。</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5.中标人需配备符合条件的质检人员，且每月抽取监听有效样本总量不低于人工服务总量的2%（含）。</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6.中标人应严格要求服务团队人员遵守采购人各项管理规定，包括但不限于保密制度、门禁制度、信息安全管理规定及12366热线运行管理相关制度规定等。</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7.服务团队人员上岗时应统一着装，中标人须为服务团队人员配置足够数量的夏装短袖、夏装衬衫、春秋装和冬装。服装由中标人负责提供，但服装的颜色、款式和质量以采购人的要求为准。</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8.中标人需负责工作环境的维护，保持工作场地整洁、卫生。</w:t>
      </w:r>
    </w:p>
    <w:p>
      <w:pPr>
        <w:pStyle w:val="15"/>
        <w:spacing w:before="0" w:after="0" w:line="360" w:lineRule="auto"/>
        <w:ind w:left="0" w:right="0" w:firstLine="560"/>
        <w:jc w:val="both"/>
        <w:rPr>
          <w:sz w:val="32"/>
          <w:szCs w:val="32"/>
        </w:rPr>
      </w:pPr>
      <w:r>
        <w:rPr>
          <w:rFonts w:ascii="仿宋_GB2312" w:hAnsi="仿宋_GB2312" w:eastAsia="仿宋_GB2312" w:cs="仿宋_GB2312"/>
          <w:color w:val="000000"/>
          <w:sz w:val="28"/>
          <w:szCs w:val="28"/>
        </w:rPr>
        <w:t>9.中标人需注重团队建设，开展团队活动，缓解工作压力，提升团队凝聚力。</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10.为保障本项目有效运作，中标人与采购人应建立有效的沟通机制，中标人每月须根据双方确定的要求，提供月度运营分析报告、薪酬支付情况、月度热点问题专题分析等运营分析材料给采购人，并根据运营的情况，及时发现存在的问题，提出完善和解决方案。</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11.采购人有权监控服务团队人员忙闲情况、话务情况，有权实施话务监听、录音质检及网络咨询质检，并调取各类话务统计报表等，中标人应当予以配合，并按时将资料准备好，随时接受采购人的查阅，避免事后准备的情况出现。</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（二）安全管理</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1.中标人应对服务团队人员加强网络安全管理，必须按照要求签订保密协议和网络安全承诺书，进行网络安全和数据安全相关规定培训及警示教育，中标人要保证人员背景符合要求。中标人设备运维人员须向泉州市税务局信息中心报备并接受统一管理。</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2.中标人未经采购人同意，不得访问、修改、披露、利用、转让、销毁税务数据，并严格按照个人信息保护和数据安全相关法律和制度要求，履行责任义务，切实加强个人信息保护。</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3.严格区分内外网。为保证安全，在服务期间，中标人的所有终端必须经过采购人安全处置后方可使用，并履行报备手续，严禁私自接入相关网络及设备。在服务期及服务期结束后的1个月内不得带离办公地点。采购人有权对终端的安全设置进行检查和加固，终端离场时需要经采购人审批，由采购人对硬盘进行格式化或对使用过的硬盘进行拆卸并封存，中标人不得拒绝。</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4.中标人要对服务团队人员投保人身意外险。服务团队人员在12366工作期间发生工伤、经济补偿、劳动纠纷等问题均由中标人承担。</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（三）服务质效考核</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采购人将围绕人工接通率、平均等待时长、咨询即时答复率、服务满意率、解答质量、质检考核、业务处理时长、业务培训、业务测试通过率、服务投诉、员工稳定性等指标，按季对中标人进行考核，如福建省税务局、市政府等上级部门对泉州市税务局的工作要求发生变化的，考核内容和要求将结合采购人实际工作情况予以调整。如因采购人原因或其他不可抗力因素影响中标人服务质效的，不计入质效考核。</w:t>
      </w:r>
      <w:r>
        <w:rPr>
          <w:rFonts w:ascii="仿宋_GB2312" w:hAnsi="仿宋_GB2312" w:eastAsia="仿宋_GB2312" w:cs="仿宋_GB2312"/>
          <w:color w:val="000000"/>
          <w:sz w:val="28"/>
          <w:szCs w:val="28"/>
        </w:rPr>
        <w:t>中标人应围绕本项目考核标准做好绩效管理工作，保证12366服务质效。</w:t>
      </w:r>
      <w:r>
        <w:rPr>
          <w:rFonts w:ascii="仿宋_GB2312" w:hAnsi="仿宋_GB2312" w:eastAsia="仿宋_GB2312" w:cs="仿宋_GB2312"/>
          <w:sz w:val="28"/>
          <w:szCs w:val="28"/>
        </w:rPr>
        <w:t>1.指标说明</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（1）人工接通率。人工接通率是指当季人工接听量与转接人工量的比率。</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2）平均等待时长。平均等待时长是指当季人工接听的总等待时长与当季人工接听量的比。其中热线等待时长是指纳税人缴费人选择转人工后至自动语音播报坐席工号前的时长，在线等待时长是指接通的在线咨询排队总时长，算平均等待时长时需除以咨询接通量。</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（3）咨询即时答复率。指当季12366坐席当场答复纳税人缴费人并办结的比率；咨询类总量是指当季业务类别为咨询的人工语音服务量；直接办结数量是指当季咨询类总量中小结类型选择直接办结的数量。</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4）服务满意率。由当季“好差评”推送率和当季答复好评率组成，“好差评”推送率是指当季热线推送“好差评”评价的数量与人工接听及外呼的业务记录数量的比率；答复好评率是指当季热线纳税人缴费人“好评”的数量与热线推送“好差评”评价的数量的比率。</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（5）解答质量。以省局每季度进行质量抽测评分成绩为主（形式不限）。</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（6）质检考核。质检考核是由咨询答复准确率得分、服务规范性得分和小结规范性得分组成。以总分100分计算，答复准确率得分40分，服务规范性得分40分，小结规范性得分20分。</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（7）业务处理时长。是指话务通话时长和整理态时长合计数。</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8）业务培训、业务测试通过率。要求中标人每月至少开展2次专项培训、2次分组培训（其中包括服务规范培训），业务测试通过率指通过业务测试的坐席人数占应参加业务测试坐席总数的比例，主要考评坐席人员是否掌握应知应会的税费知识。业务测试按月组织。</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9）服务投诉。指纳税人缴费人当季通过各类渠道对话务坐席服务质量的投诉，经调查属实的。若当季存在投诉属实且造成严重后果或恶劣影响的该指标不得分，严重后果及恶劣影响由采购人根据实际情况予以评估。</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10）员工稳定性。统计每季度服务团队人员离职的人数，以每个季度离职人员的数量考核人员的稳定性。离职数不包括以下人员：内部岗位调动人员；岗前培训期或试用期离职人员；采购人根据采购需求中人员管理方面的要求撤换的人员；中标人根据其员工管理办法对不符合工作要求主动予以劝退（开除）的人员。</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2.考核标准</w:t>
      </w:r>
    </w:p>
    <w:tbl>
      <w:tblPr>
        <w:tblStyle w:val="16"/>
        <w:tblW w:w="0" w:type="auto"/>
        <w:tblCellSpacing w:w="0" w:type="dxa"/>
        <w:tblInd w:w="128" w:type="dxa"/>
        <w:tblLayout w:type="autofit"/>
        <w:tblCellMar>
          <w:top w:w="15" w:type="dxa"/>
          <w:left w:w="15" w:type="dxa"/>
          <w:bottom w:w="15" w:type="dxa"/>
          <w:right w:w="15" w:type="dxa"/>
        </w:tblCellMar>
      </w:tblPr>
      <w:tblGrid>
        <w:gridCol w:w="953"/>
        <w:gridCol w:w="582"/>
        <w:gridCol w:w="2593"/>
        <w:gridCol w:w="1519"/>
        <w:gridCol w:w="3527"/>
      </w:tblGrid>
      <w:tr>
        <w:tblPrEx>
          <w:tblCellMar>
            <w:top w:w="15" w:type="dxa"/>
            <w:left w:w="15" w:type="dxa"/>
            <w:bottom w:w="15" w:type="dxa"/>
            <w:right w:w="15" w:type="dxa"/>
          </w:tblCellMar>
        </w:tblPrEx>
        <w:trPr>
          <w:tblCellSpacing w:w="0" w:type="dxa"/>
        </w:trPr>
        <w:tc>
          <w:tcPr>
            <w:tcW w:w="1005" w:type="dxa"/>
            <w:tcBorders>
              <w:top w:val="single" w:color="000000" w:sz="8" w:space="0"/>
              <w:left w:val="single" w:color="000000" w:sz="8" w:space="0"/>
              <w:bottom w:val="single" w:color="000000" w:sz="8" w:space="0"/>
              <w:right w:val="single" w:color="000000" w:sz="8" w:space="0"/>
            </w:tcBorders>
            <w:noWrap w:val="0"/>
            <w:tcMar>
              <w:top w:w="0" w:type="dxa"/>
              <w:left w:w="118" w:type="dxa"/>
              <w:bottom w:w="0" w:type="dxa"/>
              <w:right w:w="118" w:type="dxa"/>
            </w:tcMar>
            <w:vAlign w:val="center"/>
          </w:tcPr>
          <w:p>
            <w:pPr>
              <w:pStyle w:val="12"/>
              <w:spacing w:before="0" w:after="0" w:line="520" w:lineRule="atLeast"/>
              <w:ind w:left="0" w:right="0"/>
              <w:jc w:val="center"/>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指标名称</w:t>
            </w:r>
          </w:p>
        </w:tc>
        <w:tc>
          <w:tcPr>
            <w:tcW w:w="589" w:type="dxa"/>
            <w:tcBorders>
              <w:top w:val="single" w:color="000000" w:sz="8" w:space="0"/>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center"/>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分值</w:t>
            </w:r>
          </w:p>
        </w:tc>
        <w:tc>
          <w:tcPr>
            <w:tcW w:w="2647" w:type="dxa"/>
            <w:tcBorders>
              <w:top w:val="single" w:color="000000" w:sz="8" w:space="0"/>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center"/>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计算方法</w:t>
            </w:r>
          </w:p>
        </w:tc>
        <w:tc>
          <w:tcPr>
            <w:tcW w:w="1576" w:type="dxa"/>
            <w:tcBorders>
              <w:top w:val="single" w:color="000000" w:sz="8" w:space="0"/>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center"/>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考核标准</w:t>
            </w:r>
          </w:p>
        </w:tc>
        <w:tc>
          <w:tcPr>
            <w:tcW w:w="3845" w:type="dxa"/>
            <w:tcBorders>
              <w:top w:val="single" w:color="000000" w:sz="8" w:space="0"/>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center"/>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考核细则</w:t>
            </w:r>
          </w:p>
        </w:tc>
      </w:tr>
      <w:tr>
        <w:tblPrEx>
          <w:tblCellMar>
            <w:top w:w="15" w:type="dxa"/>
            <w:left w:w="15" w:type="dxa"/>
            <w:bottom w:w="15" w:type="dxa"/>
            <w:right w:w="15" w:type="dxa"/>
          </w:tblCellMar>
        </w:tblPrEx>
        <w:trPr>
          <w:tblCellSpacing w:w="0" w:type="dxa"/>
        </w:trPr>
        <w:tc>
          <w:tcPr>
            <w:tcW w:w="1005" w:type="dxa"/>
            <w:vMerge w:val="restart"/>
            <w:tcBorders>
              <w:left w:val="single" w:color="000000" w:sz="8" w:space="0"/>
              <w:bottom w:val="nil"/>
              <w:right w:val="single" w:color="000000" w:sz="8" w:space="0"/>
            </w:tcBorders>
            <w:noWrap w:val="0"/>
            <w:tcMar>
              <w:top w:w="0" w:type="dxa"/>
              <w:left w:w="11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人工接通率</w:t>
            </w:r>
          </w:p>
        </w:tc>
        <w:tc>
          <w:tcPr>
            <w:tcW w:w="589" w:type="dxa"/>
            <w:vMerge w:val="restart"/>
            <w:tcBorders>
              <w:bottom w:val="nil"/>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5</w:t>
            </w:r>
          </w:p>
        </w:tc>
        <w:tc>
          <w:tcPr>
            <w:tcW w:w="2647" w:type="dxa"/>
            <w:vMerge w:val="restart"/>
            <w:tcBorders>
              <w:bottom w:val="nil"/>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人工接通率=12366热线和在线人工接听量÷12366热线和在线转接人工量*100%</w:t>
            </w:r>
          </w:p>
        </w:tc>
        <w:tc>
          <w:tcPr>
            <w:tcW w:w="1576" w:type="dxa"/>
            <w:vMerge w:val="restart"/>
            <w:tcBorders>
              <w:bottom w:val="nil"/>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人工接通率不低于96%（含）</w:t>
            </w:r>
          </w:p>
        </w:tc>
        <w:tc>
          <w:tcPr>
            <w:tcW w:w="3845" w:type="dxa"/>
            <w:tcBorders>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1、季度人工接通率低于96%的，每下降1%，该指标分值扣 1 分。</w:t>
            </w:r>
          </w:p>
        </w:tc>
      </w:tr>
      <w:tr>
        <w:tblPrEx>
          <w:tblCellMar>
            <w:top w:w="15" w:type="dxa"/>
            <w:left w:w="15" w:type="dxa"/>
            <w:bottom w:w="15" w:type="dxa"/>
            <w:right w:w="15" w:type="dxa"/>
          </w:tblCellMar>
        </w:tblPrEx>
        <w:trPr>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tcW w:w="3845" w:type="dxa"/>
            <w:tcBorders>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2、除采购人原因及不可抗力外，出现工作日日接通率低于90%（含）以下，每出现1次，该指标扣1分。</w:t>
            </w:r>
          </w:p>
        </w:tc>
      </w:tr>
      <w:tr>
        <w:tblPrEx>
          <w:tblCellMar>
            <w:top w:w="15" w:type="dxa"/>
            <w:left w:w="15" w:type="dxa"/>
            <w:bottom w:w="15" w:type="dxa"/>
            <w:right w:w="15" w:type="dxa"/>
          </w:tblCellMar>
        </w:tblPrEx>
        <w:trPr>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tcW w:w="3845" w:type="dxa"/>
            <w:tcBorders>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3、每月如因中标人排班不合理造成工作日日接通率低于96%超过3次，每增加1次，该指标扣1分。</w:t>
            </w:r>
          </w:p>
        </w:tc>
      </w:tr>
      <w:tr>
        <w:tblPrEx>
          <w:tblCellMar>
            <w:top w:w="15" w:type="dxa"/>
            <w:left w:w="15" w:type="dxa"/>
            <w:bottom w:w="15" w:type="dxa"/>
            <w:right w:w="15" w:type="dxa"/>
          </w:tblCellMar>
        </w:tblPrEx>
        <w:trPr>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tcW w:w="3845" w:type="dxa"/>
            <w:tcBorders>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第2、3项不叠加扣分。</w:t>
            </w:r>
          </w:p>
        </w:tc>
      </w:tr>
      <w:tr>
        <w:tblPrEx>
          <w:tblCellMar>
            <w:top w:w="15" w:type="dxa"/>
            <w:left w:w="15" w:type="dxa"/>
            <w:bottom w:w="15" w:type="dxa"/>
            <w:right w:w="15" w:type="dxa"/>
          </w:tblCellMar>
        </w:tblPrEx>
        <w:trPr>
          <w:tblCellSpacing w:w="0" w:type="dxa"/>
        </w:trPr>
        <w:tc>
          <w:tcPr>
            <w:vMerge w:val="continue"/>
            <w:tcBorders>
              <w:left w:val="single" w:color="000000" w:sz="8" w:space="0"/>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tcW w:w="3845"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以上扣完为止。</w:t>
            </w:r>
          </w:p>
        </w:tc>
      </w:tr>
      <w:tr>
        <w:tblPrEx>
          <w:tblCellMar>
            <w:top w:w="15" w:type="dxa"/>
            <w:left w:w="15" w:type="dxa"/>
            <w:bottom w:w="15" w:type="dxa"/>
            <w:right w:w="15" w:type="dxa"/>
          </w:tblCellMar>
        </w:tblPrEx>
        <w:trPr>
          <w:tblCellSpacing w:w="0" w:type="dxa"/>
        </w:trPr>
        <w:tc>
          <w:tcPr>
            <w:tcW w:w="1005" w:type="dxa"/>
            <w:tcBorders>
              <w:left w:val="single" w:color="000000" w:sz="8" w:space="0"/>
              <w:bottom w:val="single" w:color="000000" w:sz="8" w:space="0"/>
              <w:right w:val="single" w:color="000000" w:sz="8" w:space="0"/>
            </w:tcBorders>
            <w:noWrap w:val="0"/>
            <w:tcMar>
              <w:top w:w="0" w:type="dxa"/>
              <w:left w:w="11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平均等待时长</w:t>
            </w:r>
          </w:p>
        </w:tc>
        <w:tc>
          <w:tcPr>
            <w:tcW w:w="589"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5</w:t>
            </w:r>
          </w:p>
        </w:tc>
        <w:tc>
          <w:tcPr>
            <w:tcW w:w="2647"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平均等待时长=12366热线和在线等待总时长÷12366热线和在线人工接听量</w:t>
            </w:r>
          </w:p>
        </w:tc>
        <w:tc>
          <w:tcPr>
            <w:tcW w:w="1576"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平均等待时长不高于30秒</w:t>
            </w:r>
          </w:p>
        </w:tc>
        <w:tc>
          <w:tcPr>
            <w:tcW w:w="3845"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平均等待时长高于30秒的，每超过1秒，该指标分值扣 1 分。扣完为止。</w:t>
            </w:r>
          </w:p>
        </w:tc>
      </w:tr>
      <w:tr>
        <w:tblPrEx>
          <w:tblCellMar>
            <w:top w:w="15" w:type="dxa"/>
            <w:left w:w="15" w:type="dxa"/>
            <w:bottom w:w="15" w:type="dxa"/>
            <w:right w:w="15" w:type="dxa"/>
          </w:tblCellMar>
        </w:tblPrEx>
        <w:trPr>
          <w:tblCellSpacing w:w="0" w:type="dxa"/>
        </w:trPr>
        <w:tc>
          <w:tcPr>
            <w:tcW w:w="1005" w:type="dxa"/>
            <w:tcBorders>
              <w:left w:val="single" w:color="000000" w:sz="8" w:space="0"/>
              <w:bottom w:val="single" w:color="000000" w:sz="8" w:space="0"/>
              <w:right w:val="single" w:color="000000" w:sz="8" w:space="0"/>
            </w:tcBorders>
            <w:noWrap w:val="0"/>
            <w:tcMar>
              <w:top w:w="0" w:type="dxa"/>
              <w:left w:w="11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咨询即时答复率</w:t>
            </w:r>
          </w:p>
        </w:tc>
        <w:tc>
          <w:tcPr>
            <w:tcW w:w="589"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10</w:t>
            </w:r>
          </w:p>
        </w:tc>
        <w:tc>
          <w:tcPr>
            <w:tcW w:w="2647"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咨询即时答复率=（热线人工语音服务量中咨询类直接办结数量/热线人工语音服务量中咨询类总量）*100%。</w:t>
            </w:r>
          </w:p>
        </w:tc>
        <w:tc>
          <w:tcPr>
            <w:tcW w:w="1576"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咨询即时答复率不低于90%（含）</w:t>
            </w:r>
          </w:p>
        </w:tc>
        <w:tc>
          <w:tcPr>
            <w:tcW w:w="3845"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咨询即时答复率低于90%的，每下降1%，该指标分值扣 1 分。扣完为止。</w:t>
            </w:r>
          </w:p>
        </w:tc>
      </w:tr>
      <w:tr>
        <w:tblPrEx>
          <w:tblCellMar>
            <w:top w:w="15" w:type="dxa"/>
            <w:left w:w="15" w:type="dxa"/>
            <w:bottom w:w="15" w:type="dxa"/>
            <w:right w:w="15" w:type="dxa"/>
          </w:tblCellMar>
        </w:tblPrEx>
        <w:trPr>
          <w:tblCellSpacing w:w="0" w:type="dxa"/>
        </w:trPr>
        <w:tc>
          <w:tcPr>
            <w:tcW w:w="1005" w:type="dxa"/>
            <w:vMerge w:val="restart"/>
            <w:tcBorders>
              <w:left w:val="single" w:color="000000" w:sz="8" w:space="0"/>
              <w:bottom w:val="nil"/>
              <w:right w:val="single" w:color="000000" w:sz="8" w:space="0"/>
            </w:tcBorders>
            <w:noWrap w:val="0"/>
            <w:tcMar>
              <w:top w:w="0" w:type="dxa"/>
              <w:left w:w="11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服务满意率</w:t>
            </w:r>
          </w:p>
        </w:tc>
        <w:tc>
          <w:tcPr>
            <w:tcW w:w="589" w:type="dxa"/>
            <w:vMerge w:val="restart"/>
            <w:tcBorders>
              <w:bottom w:val="nil"/>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10</w:t>
            </w:r>
          </w:p>
        </w:tc>
        <w:tc>
          <w:tcPr>
            <w:tcW w:w="2647" w:type="dxa"/>
            <w:tcBorders>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“好差评”推送率=（热线推送“好差评”评价的数量/人工接听及外呼的业务记录数量） *100%               </w:t>
            </w:r>
          </w:p>
        </w:tc>
        <w:tc>
          <w:tcPr>
            <w:tcW w:w="1576" w:type="dxa"/>
            <w:vMerge w:val="restart"/>
            <w:tcBorders>
              <w:bottom w:val="nil"/>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“好差评”推送率达全省热线当季平均值，答复好评率达到99%（含）以上</w:t>
            </w:r>
          </w:p>
        </w:tc>
        <w:tc>
          <w:tcPr>
            <w:tcW w:w="3845" w:type="dxa"/>
            <w:vMerge w:val="restart"/>
            <w:tcBorders>
              <w:bottom w:val="nil"/>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 “好差评”推送率未达到全省热线当季平均值的，每下降2%扣该指标分值1分；答复好评率未达99%的，每下降 1%扣该指标分值 1 分。扣完为止。</w:t>
            </w:r>
          </w:p>
        </w:tc>
      </w:tr>
      <w:tr>
        <w:tblPrEx>
          <w:tblCellMar>
            <w:top w:w="15" w:type="dxa"/>
            <w:left w:w="15" w:type="dxa"/>
            <w:bottom w:w="15" w:type="dxa"/>
            <w:right w:w="15" w:type="dxa"/>
          </w:tblCellMar>
        </w:tblPrEx>
        <w:trPr>
          <w:tblCellSpacing w:w="0" w:type="dxa"/>
        </w:trPr>
        <w:tc>
          <w:tcPr>
            <w:vMerge w:val="continue"/>
            <w:tcBorders>
              <w:left w:val="single" w:color="000000" w:sz="8" w:space="0"/>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tcW w:w="2647"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答复好评率=（热线纳税人缴费人“好评”的数量/热线推送“好差评”评价的数量）*100%。</w:t>
            </w: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r>
      <w:tr>
        <w:tblPrEx>
          <w:tblCellMar>
            <w:top w:w="15" w:type="dxa"/>
            <w:left w:w="15" w:type="dxa"/>
            <w:bottom w:w="15" w:type="dxa"/>
            <w:right w:w="15" w:type="dxa"/>
          </w:tblCellMar>
        </w:tblPrEx>
        <w:trPr>
          <w:trHeight w:val="312" w:hRule="atLeast"/>
          <w:tblCellSpacing w:w="0" w:type="dxa"/>
        </w:trPr>
        <w:tc>
          <w:tcPr>
            <w:tcW w:w="1005" w:type="dxa"/>
            <w:vMerge w:val="restart"/>
            <w:tcBorders>
              <w:left w:val="single" w:color="000000" w:sz="8" w:space="0"/>
              <w:bottom w:val="nil"/>
              <w:right w:val="single" w:color="000000" w:sz="8" w:space="0"/>
            </w:tcBorders>
            <w:noWrap w:val="0"/>
            <w:tcMar>
              <w:top w:w="0" w:type="dxa"/>
              <w:left w:w="11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解答质量</w:t>
            </w:r>
          </w:p>
        </w:tc>
        <w:tc>
          <w:tcPr>
            <w:tcW w:w="589" w:type="dxa"/>
            <w:vMerge w:val="restart"/>
            <w:tcBorders>
              <w:bottom w:val="nil"/>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10</w:t>
            </w:r>
          </w:p>
        </w:tc>
        <w:tc>
          <w:tcPr>
            <w:tcW w:w="2647" w:type="dxa"/>
            <w:vMerge w:val="restart"/>
            <w:tcBorders>
              <w:bottom w:val="nil"/>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省局拨测解答质量得分=答复准确率得分+服务规范性得分+小结规范性得分。</w:t>
            </w:r>
          </w:p>
        </w:tc>
        <w:tc>
          <w:tcPr>
            <w:tcW w:w="1576" w:type="dxa"/>
            <w:vMerge w:val="restart"/>
            <w:tcBorders>
              <w:bottom w:val="nil"/>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得分90分（含）以上</w:t>
            </w:r>
          </w:p>
        </w:tc>
        <w:tc>
          <w:tcPr>
            <w:tcW w:w="3845" w:type="dxa"/>
            <w:vMerge w:val="restart"/>
            <w:tcBorders>
              <w:bottom w:val="nil"/>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省局拨测解答质量得分低于90分的，该指标不得分。</w:t>
            </w:r>
          </w:p>
        </w:tc>
      </w:tr>
      <w:tr>
        <w:tblPrEx>
          <w:tblCellMar>
            <w:top w:w="15" w:type="dxa"/>
            <w:left w:w="15" w:type="dxa"/>
            <w:bottom w:w="15" w:type="dxa"/>
            <w:right w:w="15" w:type="dxa"/>
          </w:tblCellMar>
        </w:tblPrEx>
        <w:trPr>
          <w:trHeight w:val="312" w:hRule="atLeast"/>
          <w:tblCellSpacing w:w="0" w:type="dxa"/>
        </w:trPr>
        <w:tc>
          <w:tcPr>
            <w:vMerge w:val="continue"/>
            <w:tcBorders>
              <w:left w:val="single" w:color="000000" w:sz="8" w:space="0"/>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r>
      <w:tr>
        <w:tblPrEx>
          <w:tblCellMar>
            <w:top w:w="15" w:type="dxa"/>
            <w:left w:w="15" w:type="dxa"/>
            <w:bottom w:w="15" w:type="dxa"/>
            <w:right w:w="15" w:type="dxa"/>
          </w:tblCellMar>
        </w:tblPrEx>
        <w:trPr>
          <w:tblCellSpacing w:w="0" w:type="dxa"/>
        </w:trPr>
        <w:tc>
          <w:tcPr>
            <w:tcW w:w="1005" w:type="dxa"/>
            <w:vMerge w:val="restart"/>
            <w:tcBorders>
              <w:left w:val="single" w:color="000000" w:sz="8" w:space="0"/>
              <w:bottom w:val="nil"/>
              <w:right w:val="single" w:color="000000" w:sz="8" w:space="0"/>
            </w:tcBorders>
            <w:noWrap w:val="0"/>
            <w:tcMar>
              <w:top w:w="0" w:type="dxa"/>
              <w:left w:w="11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质检考核</w:t>
            </w:r>
          </w:p>
        </w:tc>
        <w:tc>
          <w:tcPr>
            <w:tcW w:w="589"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20</w:t>
            </w:r>
          </w:p>
        </w:tc>
        <w:tc>
          <w:tcPr>
            <w:tcW w:w="2647"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一级质检考核得分=答复准确率得分+服务规范性得分+小结规范性得分</w:t>
            </w:r>
          </w:p>
        </w:tc>
        <w:tc>
          <w:tcPr>
            <w:tcW w:w="1576"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得分90分（含）以上</w:t>
            </w:r>
          </w:p>
        </w:tc>
        <w:tc>
          <w:tcPr>
            <w:tcW w:w="3845"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一级质检考核得分较目标值每下降1分的扣2分，扣完为止。</w:t>
            </w:r>
          </w:p>
        </w:tc>
      </w:tr>
      <w:tr>
        <w:tblPrEx>
          <w:tblCellMar>
            <w:top w:w="15" w:type="dxa"/>
            <w:left w:w="15" w:type="dxa"/>
            <w:bottom w:w="15" w:type="dxa"/>
            <w:right w:w="15" w:type="dxa"/>
          </w:tblCellMar>
        </w:tblPrEx>
        <w:trPr>
          <w:tblCellSpacing w:w="0" w:type="dxa"/>
        </w:trPr>
        <w:tc>
          <w:tcPr>
            <w:vMerge w:val="continue"/>
            <w:tcBorders>
              <w:left w:val="single" w:color="000000" w:sz="8" w:space="0"/>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z w:val="28"/>
                <w:szCs w:val="28"/>
              </w:rPr>
            </w:pPr>
          </w:p>
        </w:tc>
        <w:tc>
          <w:tcPr>
            <w:tcW w:w="589"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10</w:t>
            </w:r>
          </w:p>
        </w:tc>
        <w:tc>
          <w:tcPr>
            <w:tcW w:w="2647"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省级质检考核得分=答复准确率得分+服务规范性得分+小结规范性得分</w:t>
            </w:r>
          </w:p>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iCs/>
                <w:smallCaps w:val="0"/>
                <w:color w:val="000000"/>
                <w:sz w:val="28"/>
                <w:szCs w:val="28"/>
              </w:rPr>
              <w:t> </w:t>
            </w:r>
          </w:p>
        </w:tc>
        <w:tc>
          <w:tcPr>
            <w:tcW w:w="1576"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得分90分（含）以上</w:t>
            </w:r>
          </w:p>
        </w:tc>
        <w:tc>
          <w:tcPr>
            <w:tcW w:w="3845"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省级质检考核得分较目标值每下降1分的扣2分，扣完为止。</w:t>
            </w:r>
          </w:p>
        </w:tc>
      </w:tr>
      <w:tr>
        <w:tblPrEx>
          <w:tblCellMar>
            <w:top w:w="15" w:type="dxa"/>
            <w:left w:w="15" w:type="dxa"/>
            <w:bottom w:w="15" w:type="dxa"/>
            <w:right w:w="15" w:type="dxa"/>
          </w:tblCellMar>
        </w:tblPrEx>
        <w:trPr>
          <w:tblCellSpacing w:w="0" w:type="dxa"/>
        </w:trPr>
        <w:tc>
          <w:tcPr>
            <w:tcW w:w="1005" w:type="dxa"/>
            <w:tcBorders>
              <w:left w:val="single" w:color="000000" w:sz="8" w:space="0"/>
              <w:bottom w:val="single" w:color="000000" w:sz="8" w:space="0"/>
              <w:right w:val="single" w:color="000000" w:sz="8" w:space="0"/>
            </w:tcBorders>
            <w:noWrap w:val="0"/>
            <w:tcMar>
              <w:top w:w="0" w:type="dxa"/>
              <w:left w:w="11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业务处理时长</w:t>
            </w:r>
          </w:p>
        </w:tc>
        <w:tc>
          <w:tcPr>
            <w:tcW w:w="589"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6</w:t>
            </w:r>
          </w:p>
        </w:tc>
        <w:tc>
          <w:tcPr>
            <w:tcW w:w="2647"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业务处理时间=通话时长+整理态时长</w:t>
            </w:r>
          </w:p>
        </w:tc>
        <w:tc>
          <w:tcPr>
            <w:tcW w:w="1576"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平均不超过5分钟</w:t>
            </w:r>
          </w:p>
        </w:tc>
        <w:tc>
          <w:tcPr>
            <w:tcW w:w="3845"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业务处理时间较目标值每上升10秒扣1分，扣完为止。</w:t>
            </w:r>
          </w:p>
        </w:tc>
      </w:tr>
      <w:tr>
        <w:tblPrEx>
          <w:tblCellMar>
            <w:top w:w="15" w:type="dxa"/>
            <w:left w:w="15" w:type="dxa"/>
            <w:bottom w:w="15" w:type="dxa"/>
            <w:right w:w="15" w:type="dxa"/>
          </w:tblCellMar>
        </w:tblPrEx>
        <w:trPr>
          <w:tblCellSpacing w:w="0" w:type="dxa"/>
        </w:trPr>
        <w:tc>
          <w:tcPr>
            <w:tcW w:w="1005" w:type="dxa"/>
            <w:tcBorders>
              <w:left w:val="single" w:color="000000" w:sz="8" w:space="0"/>
              <w:bottom w:val="single" w:color="000000" w:sz="8" w:space="0"/>
              <w:right w:val="single" w:color="000000" w:sz="8" w:space="0"/>
            </w:tcBorders>
            <w:noWrap w:val="0"/>
            <w:tcMar>
              <w:top w:w="0" w:type="dxa"/>
              <w:left w:w="11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业务培训和业务测试通过率</w:t>
            </w:r>
          </w:p>
        </w:tc>
        <w:tc>
          <w:tcPr>
            <w:tcW w:w="589"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10</w:t>
            </w:r>
          </w:p>
        </w:tc>
        <w:tc>
          <w:tcPr>
            <w:tcW w:w="2647"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每月至少开展2次专项培训、2次分组培训（其中包括服务规范培训）；业务测试通过率=通过业务测试的坐席人数/应参加业务测试坐席总数*100%</w:t>
            </w:r>
          </w:p>
        </w:tc>
        <w:tc>
          <w:tcPr>
            <w:tcW w:w="1576"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月均专项培训和分组培训的培训次数不得低于投标文件所承诺的次数；业务测试通过率不低于90%（含）</w:t>
            </w:r>
          </w:p>
        </w:tc>
        <w:tc>
          <w:tcPr>
            <w:tcW w:w="3845"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每少一次培训扣0.5分，扣完为止。业务测试通过率低于90%的，每下降5%，该指标分值扣 1 分。扣完为止。</w:t>
            </w:r>
          </w:p>
        </w:tc>
      </w:tr>
      <w:tr>
        <w:tblPrEx>
          <w:tblCellMar>
            <w:top w:w="15" w:type="dxa"/>
            <w:left w:w="15" w:type="dxa"/>
            <w:bottom w:w="15" w:type="dxa"/>
            <w:right w:w="15" w:type="dxa"/>
          </w:tblCellMar>
        </w:tblPrEx>
        <w:trPr>
          <w:tblCellSpacing w:w="0" w:type="dxa"/>
        </w:trPr>
        <w:tc>
          <w:tcPr>
            <w:tcW w:w="1005" w:type="dxa"/>
            <w:tcBorders>
              <w:left w:val="single" w:color="000000" w:sz="8" w:space="0"/>
              <w:bottom w:val="single" w:color="000000" w:sz="8" w:space="0"/>
              <w:right w:val="single" w:color="000000" w:sz="8" w:space="0"/>
            </w:tcBorders>
            <w:noWrap w:val="0"/>
            <w:tcMar>
              <w:top w:w="0" w:type="dxa"/>
              <w:left w:w="11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服务投诉</w:t>
            </w:r>
          </w:p>
        </w:tc>
        <w:tc>
          <w:tcPr>
            <w:tcW w:w="589"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10</w:t>
            </w:r>
          </w:p>
        </w:tc>
        <w:tc>
          <w:tcPr>
            <w:tcW w:w="2647"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纳税人缴费人通过热线、网站、邮箱等方式对话务坐席服务质量的投诉，经调查属实的。</w:t>
            </w:r>
          </w:p>
        </w:tc>
        <w:tc>
          <w:tcPr>
            <w:tcW w:w="1576"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按季考核，每季累计不超过2次</w:t>
            </w:r>
          </w:p>
        </w:tc>
        <w:tc>
          <w:tcPr>
            <w:tcW w:w="3845"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服务投诉每季累计超过2次的，每超1次扣1分。扣完为止。造成严重后果或恶劣影响的该指标不得分。</w:t>
            </w:r>
          </w:p>
        </w:tc>
      </w:tr>
      <w:tr>
        <w:tblPrEx>
          <w:tblCellMar>
            <w:top w:w="15" w:type="dxa"/>
            <w:left w:w="15" w:type="dxa"/>
            <w:bottom w:w="15" w:type="dxa"/>
            <w:right w:w="15" w:type="dxa"/>
          </w:tblCellMar>
        </w:tblPrEx>
        <w:trPr>
          <w:tblCellSpacing w:w="0" w:type="dxa"/>
        </w:trPr>
        <w:tc>
          <w:tcPr>
            <w:tcW w:w="1005" w:type="dxa"/>
            <w:tcBorders>
              <w:left w:val="single" w:color="000000" w:sz="8" w:space="0"/>
              <w:bottom w:val="single" w:color="000000" w:sz="8" w:space="0"/>
              <w:right w:val="single" w:color="000000" w:sz="8" w:space="0"/>
            </w:tcBorders>
            <w:noWrap w:val="0"/>
            <w:tcMar>
              <w:top w:w="0" w:type="dxa"/>
              <w:left w:w="11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员工稳定性</w:t>
            </w:r>
          </w:p>
        </w:tc>
        <w:tc>
          <w:tcPr>
            <w:tcW w:w="589"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4</w:t>
            </w:r>
          </w:p>
        </w:tc>
        <w:tc>
          <w:tcPr>
            <w:tcW w:w="2647"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每季度服务团队人员离职人数</w:t>
            </w:r>
          </w:p>
        </w:tc>
        <w:tc>
          <w:tcPr>
            <w:tcW w:w="1576"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每季度离职人数不超过4人</w:t>
            </w:r>
          </w:p>
        </w:tc>
        <w:tc>
          <w:tcPr>
            <w:tcW w:w="3845" w:type="dxa"/>
            <w:tcBorders>
              <w:bottom w:val="single" w:color="000000" w:sz="8" w:space="0"/>
              <w:right w:val="single" w:color="000000" w:sz="8" w:space="0"/>
            </w:tcBorders>
            <w:noWrap w:val="0"/>
            <w:tcMar>
              <w:top w:w="0" w:type="dxa"/>
              <w:left w:w="108" w:type="dxa"/>
              <w:bottom w:w="0" w:type="dxa"/>
              <w:right w:w="118" w:type="dxa"/>
            </w:tcMar>
            <w:vAlign w:val="center"/>
          </w:tcPr>
          <w:p>
            <w:pPr>
              <w:pStyle w:val="12"/>
              <w:spacing w:before="0" w:after="0" w:line="520" w:lineRule="atLeast"/>
              <w:ind w:left="0" w:right="0"/>
              <w:jc w:val="both"/>
              <w:rPr>
                <w:b w:val="0"/>
                <w:bCs w:val="0"/>
                <w:i w:val="0"/>
                <w:iCs w:val="0"/>
                <w:smallCaps w:val="0"/>
                <w:color w:val="000000"/>
                <w:sz w:val="32"/>
                <w:szCs w:val="32"/>
              </w:rPr>
            </w:pPr>
            <w:r>
              <w:rPr>
                <w:rFonts w:ascii="仿宋_GB2312" w:hAnsi="仿宋_GB2312" w:eastAsia="仿宋_GB2312" w:cs="仿宋_GB2312"/>
                <w:b w:val="0"/>
                <w:bCs w:val="0"/>
                <w:i w:val="0"/>
                <w:iCs w:val="0"/>
                <w:smallCaps w:val="0"/>
                <w:color w:val="000000"/>
                <w:sz w:val="28"/>
                <w:szCs w:val="28"/>
              </w:rPr>
              <w:t>每季度离职人数不超过4人，离职人数在4人（含）以下的，不扣分，离职人数每增加1人，扣0.5分，扣完为止。</w:t>
            </w:r>
          </w:p>
        </w:tc>
      </w:tr>
    </w:tbl>
    <w:p>
      <w:pPr>
        <w:pStyle w:val="2"/>
        <w:keepNext w:val="0"/>
        <w:spacing w:before="0" w:after="0" w:line="360" w:lineRule="auto"/>
        <w:jc w:val="center"/>
        <w:rPr>
          <w:rFonts w:ascii="仿宋_GB2312" w:hAnsi="仿宋_GB2312" w:eastAsia="仿宋_GB2312" w:cs="仿宋_GB2312"/>
          <w:b/>
          <w:bCs/>
          <w:sz w:val="32"/>
          <w:szCs w:val="32"/>
        </w:rPr>
      </w:pPr>
      <w:bookmarkStart w:id="26" w:name="_Toc256000024"/>
      <w:r>
        <w:rPr>
          <w:rFonts w:ascii="仿宋_GB2312" w:hAnsi="仿宋_GB2312" w:eastAsia="仿宋_GB2312" w:cs="仿宋_GB2312"/>
          <w:kern w:val="36"/>
        </w:rPr>
        <w:t>6风险管控要求</w:t>
      </w:r>
      <w:bookmarkEnd w:id="26"/>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1.中标人应对服务团队人员加强网络安全管理，必须按照要求签订保密协议和网络安全承诺书，进行网络安全和数据安全相关规定培训及警示教育，中标人要保证人员背景符合要求。中标人设备运维人员须向泉州市税务局信息中心报备并接受统一管理。</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2.中标人未经采购人同意，不得访问、修改、披露、利用、转让、销毁税务数据，并严格按照个人信息保护和数据安全相关法律和制度要求，履行责任义务，切实加强个人信息保护。</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3.严格区分内外网。为保证安全，在服务期间，中标人的所有终端必须经过采购人安全处置后方可使用，并履行报备手续，严禁私自接入相关网络及设备。在服务期及服务期结束后的1个月内不得带离办公地点。采购人有权对终端的安全设置进行检查和加固，终端离场时需要经采购人审批，由采购人对硬盘进行格式化或对使用过的硬盘进行拆卸并封存，中标人不得拒绝。</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4.中标人要对服务团队人员投保人身意外险。服务团队人员在12366工作期间发生工伤、经济补偿、劳动纠纷等问题均由中标人承担。</w:t>
      </w:r>
    </w:p>
    <w:p>
      <w:pPr>
        <w:pStyle w:val="2"/>
        <w:keepNext w:val="0"/>
        <w:spacing w:before="0" w:after="0" w:line="360" w:lineRule="auto"/>
        <w:jc w:val="center"/>
        <w:rPr>
          <w:rFonts w:ascii="仿宋_GB2312" w:hAnsi="仿宋_GB2312" w:eastAsia="仿宋_GB2312" w:cs="仿宋_GB2312"/>
          <w:b/>
          <w:bCs/>
          <w:sz w:val="32"/>
          <w:szCs w:val="32"/>
        </w:rPr>
      </w:pPr>
      <w:bookmarkStart w:id="27" w:name="_Toc256000025"/>
      <w:r>
        <w:rPr>
          <w:rFonts w:ascii="仿宋_GB2312" w:hAnsi="仿宋_GB2312" w:eastAsia="仿宋_GB2312" w:cs="仿宋_GB2312"/>
          <w:kern w:val="36"/>
        </w:rPr>
        <w:t>7履约验收要求</w:t>
      </w:r>
      <w:bookmarkEnd w:id="27"/>
    </w:p>
    <w:p>
      <w:pPr>
        <w:pStyle w:val="3"/>
        <w:keepNext w:val="0"/>
        <w:spacing w:before="0" w:after="0" w:line="360" w:lineRule="auto"/>
        <w:rPr>
          <w:rFonts w:ascii="仿宋_GB2312" w:hAnsi="仿宋_GB2312" w:eastAsia="仿宋_GB2312" w:cs="仿宋_GB2312"/>
          <w:b/>
          <w:bCs/>
          <w:sz w:val="28"/>
          <w:szCs w:val="28"/>
        </w:rPr>
      </w:pPr>
      <w:bookmarkStart w:id="28" w:name="_Toc256000026"/>
      <w:r>
        <w:rPr>
          <w:rFonts w:ascii="仿宋_GB2312" w:hAnsi="仿宋_GB2312" w:eastAsia="仿宋_GB2312" w:cs="仿宋_GB2312"/>
          <w:i w:val="0"/>
          <w:iCs w:val="0"/>
        </w:rPr>
        <w:t>7.1总体要求</w:t>
      </w:r>
      <w:bookmarkEnd w:id="28"/>
    </w:p>
    <w:tbl>
      <w:tblPr>
        <w:tblStyle w:val="9"/>
        <w:tblW w:w="5000" w:type="pct"/>
        <w:tblInd w:w="30" w:type="dxa"/>
        <w:tblLayout w:type="autofit"/>
        <w:tblCellMar>
          <w:top w:w="15" w:type="dxa"/>
          <w:left w:w="15" w:type="dxa"/>
          <w:bottom w:w="15" w:type="dxa"/>
          <w:right w:w="15" w:type="dxa"/>
        </w:tblCellMar>
      </w:tblPr>
      <w:tblGrid>
        <w:gridCol w:w="1124"/>
        <w:gridCol w:w="16874"/>
      </w:tblGrid>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根据考核标准按季度对服务商服务工作进行检查和考核。如福建省税务局、市政府等上级部门对采购人的工作要求发生变化的，考核内容和要求将结合采购人实际工作情况予以调整。</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根据考核标准按季度对服务商服务工作进行检查和考核。如福建省税务局、市政府等上级部门对采购人的工作要求发生变化的，考核内容和要求将结合采购人实际工作情况予以调整。</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第3次验收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根据考核标准按季度对服务商服务工作进行检查和考核。如福建省税务局、市政府等上级部门对采购人的工作要求发生变化的，考核内容和要求将结合采购人实际工作情况予以调整。</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第4次验收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根据考核标准按季度对服务商服务工作进行检查和考核。如福建省税务局、市政府等上级部门对采购人的工作要求发生变化的，考核内容和要求将结合采购人实际工作情况予以调整。</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第5次验收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根据考核标准按季度对服务商服务工作进行检查和考核。如福建省税务局、市政府等上级部门对采购人的工作要求发生变化的，考核内容和要求将结合采购人实际工作情况予以调整。</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第6次验收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根据考核标准按季度对服务商服务工作进行检查和考核。如福建省税务局、市政府等上级部门对采购人的工作要求发生变化的，考核内容和要求将结合采购人实际工作情况予以调整。</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第7次验收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根据考核标准按季度对服务商服务工作进行检查和考核。如福建省税务局、市政府等上级部门对采购人的工作要求发生变化的，考核内容和要求将结合采购人实际工作情况予以调整。</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第8次验收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根据考核标准按季度对服务商服务工作进行检查和考核。如福建省税务局、市政府等上级部门对采购人的工作要求发生变化的，考核内容和要求将结合采购人实际工作情况予以调整。</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第9次验收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根据考核标准按季度对服务商服务工作进行检查和考核。如福建省税务局、市政府等上级部门对采购人的工作要求发生变化的，考核内容和要求将结合采购人实际工作情况予以调整。</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第10次验收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根据考核标准按季度对服务商服务工作进行检查和考核。如福建省税务局、市政府等上级部门对采购人的工作要求发生变化的，考核内容和要求将结合采购人实际工作情况予以调整。</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根据考核标准按季度对服务商服务工作进行检查和考核。如福建省税务局、市政府等上级部门对采购人的工作要求发生变化的，考核内容和要求将结合采购人实际工作情况予以调整。</w:t>
            </w:r>
          </w:p>
        </w:tc>
      </w:tr>
    </w:tbl>
    <w:p>
      <w:pPr>
        <w:pStyle w:val="3"/>
        <w:keepNext w:val="0"/>
        <w:spacing w:before="0" w:after="0" w:line="360" w:lineRule="auto"/>
        <w:rPr>
          <w:rFonts w:ascii="仿宋_GB2312" w:hAnsi="仿宋_GB2312" w:eastAsia="仿宋_GB2312" w:cs="仿宋_GB2312"/>
          <w:b/>
          <w:bCs/>
          <w:sz w:val="28"/>
          <w:szCs w:val="28"/>
        </w:rPr>
      </w:pPr>
      <w:bookmarkStart w:id="29" w:name="_Toc256000027"/>
      <w:r>
        <w:rPr>
          <w:rFonts w:ascii="仿宋_GB2312" w:hAnsi="仿宋_GB2312" w:eastAsia="仿宋_GB2312" w:cs="仿宋_GB2312"/>
          <w:i w:val="0"/>
          <w:iCs w:val="0"/>
        </w:rPr>
        <w:t>7.2具体要求</w:t>
      </w:r>
      <w:bookmarkEnd w:id="29"/>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采购人按季度对中标人服务工作进行检查和考核，并根据考核标准验收后结算应付款项。实际支付合同价款=季度合同款-人员不到位扣款-服务质效扣款-影响市局形象导致舆情事件扣款-上级部门通报批评扣款-违约扣款。</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（一）实际支付合同价款的结算规则</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1.人员不到位扣款。首先根据服务团队人员到位率计算人员不到位扣款，如中标人不能按要求保证服务团队人员足额到位将相应扣减合同款，即人员不到位扣款=考核当期合同款×（1-服务团队人员到位率）。服务团队人员到位率按季度考核，服务团队人员到位率=服务团队人员实际到位人数/合同约定最低人数，实际到位人数按季度每日到位人数平均值计算。</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2.服务质效扣款。根据每季度服务质效考核分值计算服务质效扣款，服务质效扣款=（考核当期合同款-人员不到位扣款）×[1-（每季度服务质效考核分值/100分）]。</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3.服务团队人员出现影响泉州市税务局形象的舆情事件，经调查属实的，每次扣考核当期合同款的1%。</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4.服务团队人员出现违反业务、管理制度和工作纪律等，导致被上级或地方政府部门通报批评的，经调查属实的，每次扣考核当期合同款的1%。</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5.违约扣款。中标人各类违约情况扣款，详见采购需求违约责任所列举的事项。</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在依次扣减上述相应款项后，采购人支付当期应付的结算款项。</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（二）验收方式</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本项目招标的服务期限为2年223天，第一个服务周期为2026年5月23日-12月31日，之后每一年为一个服务周期。每个服务周期单独签订合同，采购人将根据12366转型升级对服务外包团队采购要求的变化以及每个服务周期内合同履行情况进行验收考核的结果，决定是否续签或重新采购。合同期内，采购人按季度对中标人进行考核验收，并出具季度验收报告。本项目共安排11次验收，如福建省税务局、市政府等上级部门对采购人的工作要求发生变化的，考核内容和要求将结合采购人实际工作情况予以调整。</w:t>
      </w:r>
    </w:p>
    <w:p>
      <w:pPr>
        <w:pStyle w:val="13"/>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28"/>
          <w:szCs w:val="28"/>
        </w:rPr>
        <w:t>（三）验收交付物清单</w:t>
      </w:r>
    </w:p>
    <w:p>
      <w:pPr>
        <w:pStyle w:val="13"/>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28"/>
          <w:szCs w:val="28"/>
        </w:rPr>
        <w:t>验收时，中标人需提供运行报告、培训考核记录、项目参与团队情况等与验收考核内容相关材料，具体交付内容以采购人验收阶段要求为准，中标人应当予以配合，并按时将资料准备好。</w:t>
      </w:r>
    </w:p>
    <w:p>
      <w:pPr>
        <w:pStyle w:val="2"/>
        <w:keepNext w:val="0"/>
        <w:spacing w:before="0" w:after="0" w:line="360" w:lineRule="auto"/>
        <w:jc w:val="center"/>
        <w:rPr>
          <w:rFonts w:ascii="仿宋_GB2312" w:hAnsi="仿宋_GB2312" w:eastAsia="仿宋_GB2312" w:cs="仿宋_GB2312"/>
          <w:b/>
          <w:bCs/>
          <w:sz w:val="32"/>
          <w:szCs w:val="32"/>
        </w:rPr>
      </w:pPr>
      <w:bookmarkStart w:id="30" w:name="_Toc256000028"/>
      <w:r>
        <w:rPr>
          <w:rFonts w:ascii="仿宋_GB2312" w:hAnsi="仿宋_GB2312" w:eastAsia="仿宋_GB2312" w:cs="仿宋_GB2312"/>
          <w:kern w:val="36"/>
        </w:rPr>
        <w:t>8其他要求</w:t>
      </w:r>
      <w:bookmarkEnd w:id="30"/>
    </w:p>
    <w:p>
      <w:pPr>
        <w:pStyle w:val="3"/>
        <w:keepNext w:val="0"/>
        <w:spacing w:before="0" w:after="0" w:line="360" w:lineRule="auto"/>
        <w:rPr>
          <w:rFonts w:ascii="仿宋_GB2312" w:hAnsi="仿宋_GB2312" w:eastAsia="仿宋_GB2312" w:cs="仿宋_GB2312"/>
          <w:b/>
          <w:bCs/>
          <w:sz w:val="28"/>
          <w:szCs w:val="28"/>
        </w:rPr>
      </w:pPr>
      <w:bookmarkStart w:id="31" w:name="_Toc256000029"/>
      <w:r>
        <w:rPr>
          <w:rFonts w:ascii="仿宋_GB2312" w:hAnsi="仿宋_GB2312" w:eastAsia="仿宋_GB2312" w:cs="仿宋_GB2312"/>
          <w:i w:val="0"/>
          <w:iCs w:val="0"/>
        </w:rPr>
        <w:t>8.1必备要求</w:t>
      </w:r>
      <w:bookmarkEnd w:id="31"/>
    </w:p>
    <w:p>
      <w:pPr>
        <w:pStyle w:val="4"/>
        <w:keepNext w:val="0"/>
        <w:spacing w:before="0" w:after="0" w:line="360" w:lineRule="auto"/>
        <w:rPr>
          <w:rFonts w:ascii="仿宋_GB2312" w:hAnsi="仿宋_GB2312" w:eastAsia="仿宋_GB2312" w:cs="仿宋_GB2312"/>
          <w:b/>
          <w:bCs/>
          <w:sz w:val="28"/>
          <w:szCs w:val="28"/>
        </w:rPr>
      </w:pPr>
      <w:bookmarkStart w:id="32" w:name="_Toc256000030"/>
      <w:r>
        <w:rPr>
          <w:rFonts w:ascii="仿宋_GB2312" w:hAnsi="仿宋_GB2312" w:eastAsia="仿宋_GB2312" w:cs="仿宋_GB2312"/>
          <w:sz w:val="28"/>
          <w:szCs w:val="28"/>
        </w:rPr>
        <w:t>8.1.1通用必备要求</w:t>
      </w:r>
      <w:bookmarkEnd w:id="32"/>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3"/>
        <w:keepNext w:val="0"/>
        <w:spacing w:before="0" w:after="0" w:line="360" w:lineRule="auto"/>
        <w:rPr>
          <w:rFonts w:ascii="仿宋_GB2312" w:hAnsi="仿宋_GB2312" w:eastAsia="仿宋_GB2312" w:cs="仿宋_GB2312"/>
          <w:b/>
          <w:bCs/>
          <w:sz w:val="28"/>
          <w:szCs w:val="28"/>
        </w:rPr>
      </w:pPr>
      <w:bookmarkStart w:id="33" w:name="_Toc256000031"/>
      <w:r>
        <w:rPr>
          <w:rFonts w:ascii="仿宋_GB2312" w:hAnsi="仿宋_GB2312" w:eastAsia="仿宋_GB2312" w:cs="仿宋_GB2312"/>
          <w:i w:val="0"/>
          <w:iCs w:val="0"/>
        </w:rPr>
        <w:t>8.2付款安排建议</w:t>
      </w:r>
      <w:bookmarkEnd w:id="33"/>
    </w:p>
    <w:tbl>
      <w:tblPr>
        <w:tblStyle w:val="9"/>
        <w:tblW w:w="5000" w:type="pct"/>
        <w:tblInd w:w="30" w:type="dxa"/>
        <w:tblLayout w:type="autofit"/>
        <w:tblCellMar>
          <w:top w:w="15" w:type="dxa"/>
          <w:left w:w="15" w:type="dxa"/>
          <w:bottom w:w="15" w:type="dxa"/>
          <w:right w:w="15" w:type="dxa"/>
        </w:tblCellMar>
      </w:tblPr>
      <w:tblGrid>
        <w:gridCol w:w="1124"/>
        <w:gridCol w:w="12674"/>
        <w:gridCol w:w="1235"/>
      </w:tblGrid>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付款比例(%)</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经采购人书面确认验收合格后，服务商提供书面付款申请报告和发票，经采购人审核无误并满足各项付款条件后，于10个工作日内支付。</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4.68</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经采购人书面确认验收合格后，服务商提供书面付款申请报告和发票，经采购人审核无误并满足各项付款条件后，于10个工作日内支付。</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9.38</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第3次付款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经采购人书面确认验收合格后，服务商提供书面付款申请报告和发票，经采购人审核无误并满足各项付款条件后，于10个工作日内支付。</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9.38</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第4次付款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经采购人书面确认验收合格后，服务商提供书面付款申请报告和发票，经采购人审核无误并满足各项付款条件后，于10个工作日内支付。</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9.57</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第5次付款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经采购人书面确认验收合格后，服务商提供书面付款申请报告和发票，经采购人审核无误并满足各项付款条件后，于10个工作日内支付。</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9.57</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第6次付款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经采购人书面确认验收合格后，服务商提供书面付款申请报告和发票，经采购人审核无误并满足各项付款条件后，于10个工作日内支付。</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9.57</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第7次付款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经采购人书面确认验收合格后，服务商提供书面付款申请报告和发票，经采购人审核无误并满足各项付款条件后，于10个工作日内支付。</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9.57</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第8次付款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经采购人书面确认验收合格后，服务商提供书面付款申请报告和发票，经采购人审核无误并满足各项付款条件后，于10个工作日内支付。</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9.57</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第9次付款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经采购人书面确认验收合格后，服务商提供书面付款申请报告和发票，经采购人审核无误并满足各项付款条件后，于10个工作日内支付。</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9.57</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第10次付款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经采购人书面确认验收合格后，服务商提供书面付款申请报告和发票，经采购人审核无误并满足各项付款条件后，于10个工作日内支付。</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9.57</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经采购人书面确认验收合格后，服务商提供书面付款申请报告和发票，经采购人审核无误并满足各项付款条件后，于10个工作日内支付。</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9.57</w:t>
            </w:r>
          </w:p>
        </w:tc>
      </w:tr>
    </w:tbl>
    <w:p>
      <w:pPr>
        <w:pStyle w:val="3"/>
        <w:keepNext w:val="0"/>
        <w:spacing w:before="0" w:after="0" w:line="360" w:lineRule="auto"/>
        <w:rPr>
          <w:rFonts w:ascii="仿宋_GB2312" w:hAnsi="仿宋_GB2312" w:eastAsia="仿宋_GB2312" w:cs="仿宋_GB2312"/>
          <w:b/>
          <w:bCs/>
          <w:sz w:val="28"/>
          <w:szCs w:val="28"/>
        </w:rPr>
      </w:pPr>
      <w:bookmarkStart w:id="34" w:name="_Toc256000032"/>
      <w:r>
        <w:rPr>
          <w:rFonts w:ascii="仿宋_GB2312" w:hAnsi="仿宋_GB2312" w:eastAsia="仿宋_GB2312" w:cs="仿宋_GB2312"/>
          <w:i w:val="0"/>
          <w:iCs w:val="0"/>
        </w:rPr>
        <w:t>8.3其他要求</w:t>
      </w:r>
      <w:bookmarkEnd w:id="34"/>
    </w:p>
    <w:p>
      <w:pPr>
        <w:pStyle w:val="4"/>
        <w:keepNext w:val="0"/>
        <w:spacing w:before="0" w:after="0" w:line="360" w:lineRule="auto"/>
        <w:rPr>
          <w:rFonts w:ascii="仿宋_GB2312" w:hAnsi="仿宋_GB2312" w:eastAsia="仿宋_GB2312" w:cs="仿宋_GB2312"/>
          <w:b/>
          <w:bCs/>
          <w:sz w:val="28"/>
          <w:szCs w:val="28"/>
        </w:rPr>
      </w:pPr>
      <w:bookmarkStart w:id="35" w:name="_Toc256000033"/>
      <w:r>
        <w:rPr>
          <w:rFonts w:ascii="仿宋_GB2312" w:hAnsi="仿宋_GB2312" w:eastAsia="仿宋_GB2312" w:cs="仿宋_GB2312"/>
          <w:sz w:val="28"/>
          <w:szCs w:val="28"/>
        </w:rPr>
        <w:t>8.3.1保密要求</w:t>
      </w:r>
      <w:bookmarkEnd w:id="35"/>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1.中标人在履约过程中所接触的信息资料，包括但不限于知识产权、技术资料、技术诀窍、内部管理及其他相关信息，负有保密义务。</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2.中标人在使用采购人为中标人及其工作人员提供的数据、程序、用户名、口令、资料及采购人相关的业务和技术文档，包括税费政策、方案设计细节、程序文件、数据结构，以及相关业务系统的软硬件、文档、测试和测试产生的数据时，应遵循以下规定：</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（1）应以审慎态度避免泄漏、公开或传播甲方的信息；</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（2）在开发过程中对数据的处理方式应事先得到采购人的许可；</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（3）未经采购人书面许可，不得对有关信息进行修改、补充、复制；</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（4）未经采购人书面许可，不得将信息以任何方式（如E-mail）携带出服务场所；</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（5）未经采购人书面许可，不得将信息透露给任何其他人；</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（6）严禁在提交的软件产品中设置远程维护接口和后门程序；</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（7）不得进行系统软硬件设备的远程维护；</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（8）采购人以书面形式提出的其他保密措施。</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3.保密期限不受服务期限的限制，在服务期限结束后，信息接受方仍应承担保密义务，直至该等信息成为公开信息。</w:t>
      </w:r>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4.中标人及其工作人员如出现泄密行为，中标人应承担相关的法律责任，包括但是不限于对由此给采购人造成的经济损失进行赔偿。</w:t>
      </w:r>
    </w:p>
    <w:p>
      <w:pPr>
        <w:pStyle w:val="4"/>
        <w:keepNext w:val="0"/>
        <w:spacing w:before="0" w:after="0" w:line="360" w:lineRule="auto"/>
        <w:rPr>
          <w:rFonts w:ascii="仿宋_GB2312" w:hAnsi="仿宋_GB2312" w:eastAsia="仿宋_GB2312" w:cs="仿宋_GB2312"/>
          <w:b/>
          <w:bCs/>
          <w:sz w:val="28"/>
          <w:szCs w:val="28"/>
        </w:rPr>
      </w:pPr>
      <w:bookmarkStart w:id="36" w:name="_Toc256000034"/>
      <w:r>
        <w:rPr>
          <w:rFonts w:ascii="仿宋_GB2312" w:hAnsi="仿宋_GB2312" w:eastAsia="仿宋_GB2312" w:cs="仿宋_GB2312"/>
          <w:sz w:val="28"/>
          <w:szCs w:val="28"/>
        </w:rPr>
        <w:t>8.3.2知识产权要求</w:t>
      </w:r>
      <w:bookmarkEnd w:id="36"/>
    </w:p>
    <w:p>
      <w:pPr>
        <w:pStyle w:val="12"/>
        <w:spacing w:before="0" w:after="0" w:line="360" w:lineRule="auto"/>
        <w:ind w:left="0" w:right="0" w:firstLine="560"/>
        <w:jc w:val="both"/>
        <w:rPr>
          <w:sz w:val="32"/>
          <w:szCs w:val="32"/>
        </w:rPr>
      </w:pPr>
      <w:r>
        <w:rPr>
          <w:rFonts w:ascii="仿宋_GB2312" w:hAnsi="仿宋_GB2312" w:eastAsia="仿宋_GB2312" w:cs="仿宋_GB2312"/>
          <w:sz w:val="28"/>
          <w:szCs w:val="28"/>
        </w:rPr>
        <w:t> 中标人应保证采购人在接受其提供的相关服务时免受第三方提出侵犯其专利权、标权或工业设计权的起诉，由此引起的知识产权纠纷由中标人负责。</w:t>
      </w:r>
    </w:p>
    <w:p>
      <w:pPr>
        <w:spacing w:before="0" w:after="0" w:line="360" w:lineRule="auto"/>
        <w:ind w:firstLine="561"/>
        <w:rPr>
          <w:rFonts w:ascii="仿宋_GB2312" w:hAnsi="仿宋_GB2312" w:eastAsia="仿宋_GB2312" w:cs="仿宋_GB2312"/>
          <w:sz w:val="28"/>
          <w:szCs w:val="28"/>
        </w:rPr>
      </w:pP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CC"/>
    <w:family w:val="swiss"/>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fldChar w:fldCharType="begin"/>
    </w:r>
    <w:r>
      <w:instrText xml:space="preserve"> PAGE </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1EF50B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6">
    <w:name w:val="toc 3"/>
    <w:basedOn w:val="1"/>
    <w:next w:val="1"/>
    <w:uiPriority w:val="0"/>
    <w:pPr>
      <w:ind w:left="480"/>
    </w:pPr>
  </w:style>
  <w:style w:type="paragraph" w:styleId="7">
    <w:name w:val="toc 1"/>
    <w:basedOn w:val="1"/>
    <w:next w:val="1"/>
    <w:uiPriority w:val="0"/>
  </w:style>
  <w:style w:type="paragraph" w:styleId="8">
    <w:name w:val="toc 2"/>
    <w:basedOn w:val="1"/>
    <w:next w:val="1"/>
    <w:uiPriority w:val="0"/>
    <w:pPr>
      <w:ind w:left="240"/>
    </w:pPr>
  </w:style>
  <w:style w:type="character" w:styleId="11">
    <w:name w:val="Hyperlink"/>
    <w:basedOn w:val="10"/>
    <w:uiPriority w:val="0"/>
    <w:rPr>
      <w:color w:val="0000FF"/>
      <w:u w:val="single"/>
    </w:rPr>
  </w:style>
  <w:style w:type="paragraph" w:customStyle="1" w:styleId="12">
    <w:name w:val="MsoNormal"/>
    <w:basedOn w:val="1"/>
    <w:uiPriority w:val="0"/>
  </w:style>
  <w:style w:type="paragraph" w:customStyle="1" w:styleId="13">
    <w:name w:val="15"/>
    <w:basedOn w:val="1"/>
    <w:uiPriority w:val="0"/>
  </w:style>
  <w:style w:type="paragraph" w:customStyle="1" w:styleId="14">
    <w:name w:val="16"/>
    <w:basedOn w:val="1"/>
    <w:uiPriority w:val="0"/>
  </w:style>
  <w:style w:type="paragraph" w:customStyle="1" w:styleId="15">
    <w:name w:val="MsoBodyText"/>
    <w:basedOn w:val="1"/>
    <w:uiPriority w:val="0"/>
  </w:style>
  <w:style w:type="table" w:customStyle="1" w:styleId="16">
    <w:name w:val="MsoNormalTable"/>
    <w:basedOn w:val="9"/>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18</Pages>
  <Words>0</Words>
  <Characters>0</Characters>
  <Lines>1</Lines>
  <Paragraphs>1</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2026-02-26T01:38:08Z</dcterms:created>
  <dc:creator>Administrator</dc:creator>
  <cp:lastModifiedBy>钟微微</cp:lastModifiedBy>
  <dcterms:modified xsi:type="dcterms:W3CDTF">2026-02-26T01:40:12Z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