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8264B">
      <w:pPr>
        <w:topLinePunct/>
        <w:autoSpaceDE w:val="0"/>
        <w:autoSpaceDN w:val="0"/>
        <w:jc w:val="center"/>
        <w:rPr>
          <w:rFonts w:hint="eastAsia" w:ascii="华文中宋" w:hAnsi="华文中宋" w:eastAsia="华文中宋" w:cs="华文中宋"/>
          <w:b w:val="0"/>
          <w:bCs/>
          <w:color w:val="auto"/>
          <w:sz w:val="32"/>
          <w:szCs w:val="32"/>
          <w:highlight w:val="none"/>
        </w:rPr>
      </w:pPr>
      <w:r>
        <w:rPr>
          <w:rFonts w:hint="eastAsia" w:ascii="华文中宋" w:hAnsi="华文中宋" w:eastAsia="华文中宋" w:cs="华文中宋"/>
          <w:b w:val="0"/>
          <w:bCs/>
          <w:color w:val="auto"/>
          <w:sz w:val="32"/>
          <w:szCs w:val="32"/>
          <w:highlight w:val="none"/>
        </w:rPr>
        <w:t>招 标 文 件</w:t>
      </w:r>
    </w:p>
    <w:p w14:paraId="5DF2DEA0">
      <w:pPr>
        <w:topLinePunct/>
        <w:autoSpaceDE w:val="0"/>
        <w:autoSpaceDN w:val="0"/>
        <w:spacing w:line="60" w:lineRule="exact"/>
        <w:jc w:val="center"/>
        <w:rPr>
          <w:rFonts w:hint="eastAsia" w:ascii="华文中宋" w:hAnsi="华文中宋" w:eastAsia="华文中宋" w:cs="华文中宋"/>
          <w:b w:val="0"/>
          <w:bCs/>
          <w:color w:val="auto"/>
          <w:sz w:val="32"/>
          <w:szCs w:val="32"/>
          <w:highlight w:val="none"/>
        </w:rPr>
      </w:pPr>
    </w:p>
    <w:p w14:paraId="1F85CC5D">
      <w:pPr>
        <w:topLinePunct/>
        <w:autoSpaceDE w:val="0"/>
        <w:autoSpaceDN w:val="0"/>
        <w:snapToGrid w:val="0"/>
        <w:jc w:val="center"/>
        <w:rPr>
          <w:rFonts w:hint="eastAsia" w:ascii="华文中宋" w:hAnsi="华文中宋" w:eastAsia="华文中宋" w:cs="华文中宋"/>
          <w:b w:val="0"/>
          <w:bCs/>
          <w:color w:val="auto"/>
          <w:sz w:val="32"/>
          <w:szCs w:val="32"/>
          <w:highlight w:val="none"/>
        </w:rPr>
      </w:pPr>
      <w:r>
        <w:rPr>
          <w:rFonts w:hint="eastAsia" w:ascii="华文中宋" w:hAnsi="华文中宋" w:eastAsia="华文中宋" w:cs="华文中宋"/>
          <w:b w:val="0"/>
          <w:bCs/>
          <w:color w:val="auto"/>
          <w:sz w:val="32"/>
          <w:szCs w:val="32"/>
          <w:highlight w:val="none"/>
        </w:rPr>
        <w:t>（商务部分）</w:t>
      </w:r>
    </w:p>
    <w:p w14:paraId="4C97D9B1">
      <w:pPr>
        <w:topLinePunct/>
        <w:autoSpaceDE w:val="0"/>
        <w:autoSpaceDN w:val="0"/>
        <w:snapToGrid w:val="0"/>
        <w:rPr>
          <w:rFonts w:hint="eastAsia" w:ascii="华文中宋" w:hAnsi="华文中宋" w:eastAsia="华文中宋" w:cs="华文中宋"/>
          <w:b w:val="0"/>
          <w:bCs/>
          <w:color w:val="auto"/>
          <w:sz w:val="32"/>
          <w:szCs w:val="32"/>
          <w:highlight w:val="none"/>
        </w:rPr>
      </w:pPr>
    </w:p>
    <w:p w14:paraId="5092CCC6">
      <w:pPr>
        <w:jc w:val="center"/>
        <w:rPr>
          <w:rFonts w:hint="eastAsia" w:ascii="方正小标宋简体" w:hAnsi="方正小标宋简体" w:eastAsia="方正小标宋简体" w:cs="方正小标宋简体"/>
          <w:b w:val="0"/>
          <w:bCs w:val="0"/>
          <w:color w:val="auto"/>
          <w:sz w:val="24"/>
          <w:szCs w:val="24"/>
          <w:highlight w:val="none"/>
        </w:rPr>
      </w:pPr>
    </w:p>
    <w:p w14:paraId="5EB7074F">
      <w:pPr>
        <w:jc w:val="both"/>
        <w:rPr>
          <w:rFonts w:hint="eastAsia" w:ascii="方正小标宋简体" w:hAnsi="方正小标宋简体" w:eastAsia="方正小标宋简体" w:cs="方正小标宋简体"/>
          <w:b w:val="0"/>
          <w:bCs w:val="0"/>
          <w:color w:val="auto"/>
          <w:sz w:val="24"/>
          <w:szCs w:val="24"/>
          <w:highlight w:val="none"/>
        </w:rPr>
      </w:pPr>
    </w:p>
    <w:p w14:paraId="2445180A">
      <w:pPr>
        <w:jc w:val="both"/>
        <w:rPr>
          <w:rFonts w:hint="eastAsia" w:ascii="方正小标宋简体" w:hAnsi="方正小标宋简体" w:eastAsia="方正小标宋简体" w:cs="方正小标宋简体"/>
          <w:b w:val="0"/>
          <w:bCs w:val="0"/>
          <w:color w:val="auto"/>
          <w:sz w:val="24"/>
          <w:szCs w:val="24"/>
          <w:highlight w:val="none"/>
          <w:u w:val="single"/>
          <w:lang w:eastAsia="zh-CN"/>
        </w:rPr>
      </w:pPr>
      <w:r>
        <w:rPr>
          <w:rFonts w:hint="eastAsia" w:ascii="方正小标宋简体" w:hAnsi="方正小标宋简体" w:eastAsia="方正小标宋简体" w:cs="方正小标宋简体"/>
          <w:b w:val="0"/>
          <w:bCs w:val="0"/>
          <w:color w:val="auto"/>
          <w:sz w:val="24"/>
          <w:szCs w:val="24"/>
          <w:highlight w:val="none"/>
        </w:rPr>
        <w:t>项目名称：</w:t>
      </w:r>
      <w:r>
        <w:rPr>
          <w:rFonts w:hint="eastAsia" w:ascii="方正小标宋简体" w:hAnsi="方正小标宋简体" w:eastAsia="方正小标宋简体" w:cs="方正小标宋简体"/>
          <w:b w:val="0"/>
          <w:bCs w:val="0"/>
          <w:color w:val="auto"/>
          <w:sz w:val="24"/>
          <w:szCs w:val="24"/>
          <w:highlight w:val="none"/>
          <w:u w:val="single"/>
          <w:lang w:eastAsia="zh-CN"/>
        </w:rPr>
        <w:t>国家税务总局三明市三元区税务局2025-2026年食堂食材配送</w:t>
      </w:r>
    </w:p>
    <w:p w14:paraId="27EE98A9">
      <w:pPr>
        <w:jc w:val="center"/>
        <w:rPr>
          <w:rFonts w:hint="eastAsia" w:ascii="方正小标宋简体" w:hAnsi="方正小标宋简体" w:eastAsia="方正小标宋简体" w:cs="方正小标宋简体"/>
          <w:b w:val="0"/>
          <w:bCs w:val="0"/>
          <w:color w:val="auto"/>
          <w:sz w:val="24"/>
          <w:szCs w:val="24"/>
          <w:highlight w:val="none"/>
          <w:u w:val="single"/>
        </w:rPr>
      </w:pPr>
      <w:r>
        <w:rPr>
          <w:rFonts w:hint="eastAsia" w:ascii="方正小标宋简体" w:hAnsi="方正小标宋简体" w:eastAsia="方正小标宋简体" w:cs="方正小标宋简体"/>
          <w:b w:val="0"/>
          <w:bCs w:val="0"/>
          <w:color w:val="auto"/>
          <w:sz w:val="24"/>
          <w:szCs w:val="24"/>
          <w:highlight w:val="none"/>
          <w:u w:val="single"/>
          <w:lang w:eastAsia="zh-CN"/>
        </w:rPr>
        <w:t>服务项目</w:t>
      </w:r>
    </w:p>
    <w:p w14:paraId="686F7B61">
      <w:pPr>
        <w:jc w:val="both"/>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rPr>
        <w:t>项目编号：</w:t>
      </w:r>
      <w:r>
        <w:rPr>
          <w:rFonts w:hint="eastAsia" w:ascii="方正小标宋简体" w:hAnsi="方正小标宋简体" w:eastAsia="方正小标宋简体" w:cs="方正小标宋简体"/>
          <w:b w:val="0"/>
          <w:bCs w:val="0"/>
          <w:color w:val="auto"/>
          <w:sz w:val="24"/>
          <w:szCs w:val="24"/>
          <w:highlight w:val="none"/>
          <w:u w:val="single"/>
          <w:lang w:eastAsia="zh-CN"/>
        </w:rPr>
        <w:t>FJ2025-DLGK-C0034-B03</w:t>
      </w:r>
    </w:p>
    <w:p w14:paraId="47E3DE66">
      <w:pPr>
        <w:jc w:val="both"/>
        <w:rPr>
          <w:rFonts w:hint="eastAsia" w:ascii="方正小标宋简体" w:hAnsi="方正小标宋简体" w:eastAsia="方正小标宋简体" w:cs="方正小标宋简体"/>
          <w:b w:val="0"/>
          <w:bCs w:val="0"/>
          <w:color w:val="auto"/>
          <w:sz w:val="24"/>
          <w:szCs w:val="24"/>
          <w:highlight w:val="none"/>
          <w:u w:val="single"/>
          <w:lang w:eastAsia="zh-CN"/>
        </w:rPr>
      </w:pPr>
      <w:r>
        <w:rPr>
          <w:rFonts w:hint="eastAsia" w:ascii="方正小标宋简体" w:hAnsi="方正小标宋简体" w:eastAsia="方正小标宋简体" w:cs="方正小标宋简体"/>
          <w:b w:val="0"/>
          <w:bCs w:val="0"/>
          <w:color w:val="auto"/>
          <w:sz w:val="24"/>
          <w:szCs w:val="24"/>
          <w:highlight w:val="none"/>
        </w:rPr>
        <w:t>采 购 人：</w:t>
      </w:r>
      <w:r>
        <w:rPr>
          <w:rFonts w:hint="eastAsia" w:ascii="方正小标宋简体" w:hAnsi="方正小标宋简体" w:eastAsia="方正小标宋简体" w:cs="方正小标宋简体"/>
          <w:b w:val="0"/>
          <w:bCs w:val="0"/>
          <w:color w:val="auto"/>
          <w:sz w:val="24"/>
          <w:szCs w:val="24"/>
          <w:highlight w:val="none"/>
          <w:u w:val="single"/>
          <w:lang w:eastAsia="zh-CN"/>
        </w:rPr>
        <w:t>国家税务总局三明市三元区税务局</w:t>
      </w:r>
    </w:p>
    <w:p w14:paraId="6BF259CE">
      <w:pPr>
        <w:jc w:val="both"/>
        <w:rPr>
          <w:rFonts w:hint="eastAsia" w:ascii="方正小标宋简体" w:hAnsi="方正小标宋简体" w:eastAsia="方正小标宋简体" w:cs="方正小标宋简体"/>
          <w:b w:val="0"/>
          <w:bCs w:val="0"/>
          <w:color w:val="auto"/>
          <w:sz w:val="24"/>
          <w:szCs w:val="24"/>
          <w:highlight w:val="none"/>
          <w:u w:val="none"/>
        </w:rPr>
      </w:pPr>
      <w:r>
        <w:rPr>
          <w:rFonts w:hint="eastAsia" w:ascii="方正小标宋简体" w:hAnsi="方正小标宋简体" w:eastAsia="方正小标宋简体" w:cs="方正小标宋简体"/>
          <w:b w:val="0"/>
          <w:bCs w:val="0"/>
          <w:color w:val="auto"/>
          <w:sz w:val="24"/>
          <w:szCs w:val="24"/>
          <w:highlight w:val="none"/>
        </w:rPr>
        <w:t>采购代理机构：</w:t>
      </w:r>
      <w:r>
        <w:rPr>
          <w:rFonts w:hint="eastAsia" w:ascii="方正小标宋简体" w:hAnsi="方正小标宋简体" w:eastAsia="方正小标宋简体" w:cs="方正小标宋简体"/>
          <w:b w:val="0"/>
          <w:bCs w:val="0"/>
          <w:color w:val="auto"/>
          <w:sz w:val="24"/>
          <w:szCs w:val="24"/>
          <w:highlight w:val="none"/>
          <w:u w:val="single"/>
          <w:lang w:eastAsia="zh-CN"/>
        </w:rPr>
        <w:t>福建</w:t>
      </w:r>
      <w:r>
        <w:rPr>
          <w:rFonts w:hint="eastAsia" w:ascii="方正小标宋简体" w:hAnsi="方正小标宋简体" w:eastAsia="方正小标宋简体" w:cs="方正小标宋简体"/>
          <w:b w:val="0"/>
          <w:bCs w:val="0"/>
          <w:color w:val="auto"/>
          <w:sz w:val="24"/>
          <w:szCs w:val="24"/>
          <w:highlight w:val="none"/>
          <w:u w:val="single"/>
          <w:lang w:val="en-US" w:eastAsia="zh-CN"/>
        </w:rPr>
        <w:t>盛鑫</w:t>
      </w:r>
      <w:r>
        <w:rPr>
          <w:rFonts w:hint="eastAsia" w:ascii="方正小标宋简体" w:hAnsi="方正小标宋简体" w:eastAsia="方正小标宋简体" w:cs="方正小标宋简体"/>
          <w:b w:val="0"/>
          <w:bCs w:val="0"/>
          <w:color w:val="auto"/>
          <w:sz w:val="24"/>
          <w:szCs w:val="24"/>
          <w:highlight w:val="none"/>
          <w:u w:val="single"/>
          <w:lang w:eastAsia="zh-CN"/>
        </w:rPr>
        <w:t>招标</w:t>
      </w:r>
      <w:r>
        <w:rPr>
          <w:rFonts w:hint="eastAsia" w:ascii="方正小标宋简体" w:hAnsi="方正小标宋简体" w:eastAsia="方正小标宋简体" w:cs="方正小标宋简体"/>
          <w:b w:val="0"/>
          <w:bCs w:val="0"/>
          <w:color w:val="auto"/>
          <w:sz w:val="24"/>
          <w:szCs w:val="24"/>
          <w:highlight w:val="none"/>
          <w:u w:val="single"/>
          <w:lang w:val="en-US" w:eastAsia="zh-CN"/>
        </w:rPr>
        <w:t>代理</w:t>
      </w:r>
      <w:r>
        <w:rPr>
          <w:rFonts w:hint="eastAsia" w:ascii="方正小标宋简体" w:hAnsi="方正小标宋简体" w:eastAsia="方正小标宋简体" w:cs="方正小标宋简体"/>
          <w:b w:val="0"/>
          <w:bCs w:val="0"/>
          <w:color w:val="auto"/>
          <w:sz w:val="24"/>
          <w:szCs w:val="24"/>
          <w:highlight w:val="none"/>
          <w:u w:val="single"/>
          <w:lang w:eastAsia="zh-CN"/>
        </w:rPr>
        <w:t>有限公司</w:t>
      </w:r>
    </w:p>
    <w:p w14:paraId="2A08AEC9">
      <w:pPr>
        <w:topLinePunct/>
        <w:autoSpaceDE w:val="0"/>
        <w:autoSpaceDN w:val="0"/>
        <w:spacing w:line="460" w:lineRule="exact"/>
        <w:rPr>
          <w:rFonts w:hint="eastAsia" w:ascii="方正小标宋简体" w:hAnsi="方正小标宋简体" w:eastAsia="方正小标宋简体" w:cs="方正小标宋简体"/>
          <w:b w:val="0"/>
          <w:bCs w:val="0"/>
          <w:color w:val="auto"/>
          <w:sz w:val="24"/>
          <w:szCs w:val="24"/>
          <w:highlight w:val="none"/>
        </w:rPr>
      </w:pPr>
    </w:p>
    <w:p w14:paraId="0C65DE5B">
      <w:pPr>
        <w:topLinePunct/>
        <w:autoSpaceDE w:val="0"/>
        <w:autoSpaceDN w:val="0"/>
        <w:spacing w:line="460" w:lineRule="exact"/>
        <w:jc w:val="center"/>
        <w:rPr>
          <w:rFonts w:hint="eastAsia" w:ascii="方正小标宋简体" w:hAnsi="方正小标宋简体" w:eastAsia="方正小标宋简体" w:cs="方正小标宋简体"/>
          <w:b w:val="0"/>
          <w:bCs w:val="0"/>
          <w:color w:val="auto"/>
          <w:sz w:val="24"/>
          <w:szCs w:val="24"/>
          <w:highlight w:val="none"/>
        </w:rPr>
      </w:pPr>
    </w:p>
    <w:p w14:paraId="47B5A5B4">
      <w:pPr>
        <w:jc w:val="center"/>
        <w:rPr>
          <w:rFonts w:hint="eastAsia" w:ascii="方正小标宋简体" w:hAnsi="方正小标宋简体" w:eastAsia="方正小标宋简体" w:cs="方正小标宋简体"/>
          <w:b w:val="0"/>
          <w:bCs w:val="0"/>
          <w:color w:val="auto"/>
          <w:sz w:val="24"/>
          <w:szCs w:val="24"/>
          <w:highlight w:val="none"/>
          <w:u w:val="single"/>
          <w:lang w:eastAsia="zh-CN"/>
        </w:rPr>
      </w:pPr>
      <w:r>
        <w:rPr>
          <w:rFonts w:hint="eastAsia" w:ascii="方正小标宋简体" w:hAnsi="方正小标宋简体" w:eastAsia="方正小标宋简体" w:cs="方正小标宋简体"/>
          <w:b w:val="0"/>
          <w:bCs w:val="0"/>
          <w:color w:val="auto"/>
          <w:sz w:val="24"/>
          <w:szCs w:val="24"/>
          <w:highlight w:val="none"/>
          <w:u w:val="none"/>
          <w:lang w:eastAsia="zh-CN"/>
        </w:rPr>
        <w:t>国家税务总局三明市三元区税务局</w:t>
      </w:r>
    </w:p>
    <w:p w14:paraId="44A051A9">
      <w:pPr>
        <w:jc w:val="center"/>
        <w:rPr>
          <w:rFonts w:hint="eastAsia" w:ascii="方正小标宋简体" w:hAnsi="方正小标宋简体" w:eastAsia="方正小标宋简体" w:cs="方正小标宋简体"/>
          <w:b w:val="0"/>
          <w:bCs w:val="0"/>
          <w:color w:val="auto"/>
          <w:sz w:val="24"/>
          <w:szCs w:val="24"/>
          <w:highlight w:val="none"/>
        </w:rPr>
      </w:pPr>
      <w:r>
        <w:rPr>
          <w:rFonts w:hint="eastAsia" w:ascii="方正小标宋简体" w:hAnsi="方正小标宋简体" w:eastAsia="方正小标宋简体" w:cs="方正小标宋简体"/>
          <w:b w:val="0"/>
          <w:bCs w:val="0"/>
          <w:color w:val="auto"/>
          <w:sz w:val="24"/>
          <w:szCs w:val="24"/>
          <w:highlight w:val="none"/>
          <w:lang w:val="en-US" w:eastAsia="zh-CN"/>
        </w:rPr>
        <w:t>2025</w:t>
      </w:r>
      <w:r>
        <w:rPr>
          <w:rFonts w:hint="eastAsia" w:ascii="方正小标宋简体" w:hAnsi="方正小标宋简体" w:eastAsia="方正小标宋简体" w:cs="方正小标宋简体"/>
          <w:b w:val="0"/>
          <w:bCs w:val="0"/>
          <w:color w:val="auto"/>
          <w:sz w:val="24"/>
          <w:szCs w:val="24"/>
          <w:highlight w:val="none"/>
        </w:rPr>
        <w:t>年</w:t>
      </w:r>
      <w:r>
        <w:rPr>
          <w:rFonts w:hint="eastAsia" w:ascii="方正小标宋简体" w:hAnsi="方正小标宋简体" w:eastAsia="方正小标宋简体" w:cs="方正小标宋简体"/>
          <w:b w:val="0"/>
          <w:bCs w:val="0"/>
          <w:color w:val="auto"/>
          <w:sz w:val="24"/>
          <w:szCs w:val="24"/>
          <w:highlight w:val="none"/>
          <w:lang w:val="en-US" w:eastAsia="zh-CN"/>
        </w:rPr>
        <w:t>4</w:t>
      </w:r>
      <w:r>
        <w:rPr>
          <w:rFonts w:hint="eastAsia" w:ascii="方正小标宋简体" w:hAnsi="方正小标宋简体" w:eastAsia="方正小标宋简体" w:cs="方正小标宋简体"/>
          <w:b w:val="0"/>
          <w:bCs w:val="0"/>
          <w:color w:val="auto"/>
          <w:sz w:val="24"/>
          <w:szCs w:val="24"/>
          <w:highlight w:val="none"/>
        </w:rPr>
        <w:t>月</w:t>
      </w:r>
      <w:r>
        <w:rPr>
          <w:rFonts w:hint="eastAsia" w:ascii="方正小标宋简体" w:hAnsi="方正小标宋简体" w:eastAsia="方正小标宋简体" w:cs="方正小标宋简体"/>
          <w:b w:val="0"/>
          <w:bCs w:val="0"/>
          <w:color w:val="auto"/>
          <w:sz w:val="24"/>
          <w:szCs w:val="24"/>
          <w:highlight w:val="none"/>
          <w:lang w:val="en-US" w:eastAsia="zh-CN"/>
        </w:rPr>
        <w:t>30</w:t>
      </w:r>
      <w:r>
        <w:rPr>
          <w:rFonts w:hint="eastAsia" w:ascii="方正小标宋简体" w:hAnsi="方正小标宋简体" w:eastAsia="方正小标宋简体" w:cs="方正小标宋简体"/>
          <w:b w:val="0"/>
          <w:bCs w:val="0"/>
          <w:color w:val="auto"/>
          <w:sz w:val="24"/>
          <w:szCs w:val="24"/>
          <w:highlight w:val="none"/>
        </w:rPr>
        <w:t>日</w:t>
      </w:r>
    </w:p>
    <w:p w14:paraId="06B3E1D6">
      <w:pPr>
        <w:rPr>
          <w:b w:val="0"/>
          <w:bCs w:val="0"/>
          <w:color w:val="auto"/>
          <w:sz w:val="32"/>
          <w:szCs w:val="32"/>
          <w:highlight w:val="none"/>
        </w:rPr>
      </w:pPr>
    </w:p>
    <w:p w14:paraId="2E71228A">
      <w:pPr>
        <w:rPr>
          <w:color w:val="auto"/>
          <w:sz w:val="32"/>
          <w:szCs w:val="32"/>
          <w:highlight w:val="none"/>
        </w:rPr>
      </w:pPr>
    </w:p>
    <w:p w14:paraId="33500BB0">
      <w:pPr>
        <w:rPr>
          <w:color w:val="auto"/>
          <w:sz w:val="32"/>
          <w:szCs w:val="32"/>
          <w:highlight w:val="none"/>
        </w:rPr>
        <w:sectPr>
          <w:footerReference r:id="rId3" w:type="default"/>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16E7997">
      <w:pPr>
        <w:bidi w:val="0"/>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zh-CN"/>
        </w:rPr>
        <w:t>目  录</w:t>
      </w:r>
    </w:p>
    <w:p w14:paraId="572FC393">
      <w:pPr>
        <w:pStyle w:val="12"/>
        <w:tabs>
          <w:tab w:val="right" w:leader="dot" w:pos="9060"/>
        </w:tabs>
        <w:rPr>
          <w:rFonts w:hint="eastAsia" w:ascii="Calibri" w:hAnsi="Calibri" w:eastAsia="宋体" w:cs="Times New Roman"/>
          <w:b w:val="0"/>
          <w:bCs w:val="0"/>
          <w:caps w:val="0"/>
          <w:color w:val="auto"/>
          <w:sz w:val="21"/>
          <w:szCs w:val="21"/>
          <w:highlight w:val="none"/>
          <w:lang w:val="en-US" w:eastAsia="zh-CN"/>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sz w:val="21"/>
          <w:szCs w:val="21"/>
          <w:highlight w:val="none"/>
        </w:rPr>
        <w:fldChar w:fldCharType="begin"/>
      </w:r>
      <w:r>
        <w:rPr>
          <w:color w:val="auto"/>
          <w:sz w:val="21"/>
          <w:szCs w:val="21"/>
          <w:highlight w:val="none"/>
        </w:rPr>
        <w:instrText xml:space="preserve"> HYPERLINK \l "_Toc132880271" </w:instrText>
      </w:r>
      <w:r>
        <w:rPr>
          <w:color w:val="auto"/>
          <w:sz w:val="21"/>
          <w:szCs w:val="21"/>
          <w:highlight w:val="none"/>
        </w:rPr>
        <w:fldChar w:fldCharType="separate"/>
      </w:r>
      <w:r>
        <w:rPr>
          <w:rStyle w:val="19"/>
          <w:rFonts w:hint="eastAsia"/>
          <w:color w:val="auto"/>
          <w:sz w:val="21"/>
          <w:szCs w:val="21"/>
          <w:highlight w:val="none"/>
        </w:rPr>
        <w:t>第一章</w:t>
      </w:r>
      <w:r>
        <w:rPr>
          <w:rStyle w:val="19"/>
          <w:color w:val="auto"/>
          <w:sz w:val="21"/>
          <w:szCs w:val="21"/>
          <w:highlight w:val="none"/>
        </w:rPr>
        <w:t xml:space="preserve">  </w:t>
      </w:r>
      <w:r>
        <w:rPr>
          <w:rStyle w:val="19"/>
          <w:rFonts w:hint="eastAsia"/>
          <w:color w:val="auto"/>
          <w:sz w:val="21"/>
          <w:szCs w:val="21"/>
          <w:highlight w:val="none"/>
        </w:rPr>
        <w:t>投标邀请</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3</w:t>
      </w:r>
    </w:p>
    <w:p w14:paraId="7824843F">
      <w:pPr>
        <w:pStyle w:val="12"/>
        <w:tabs>
          <w:tab w:val="right" w:leader="dot" w:pos="9060"/>
        </w:tabs>
        <w:rPr>
          <w:rFonts w:hint="eastAsia" w:ascii="Calibri" w:hAnsi="Calibri" w:eastAsia="宋体" w:cs="Times New Roman"/>
          <w:b w:val="0"/>
          <w:bCs w:val="0"/>
          <w:caps w:val="0"/>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"_Toc132880272" </w:instrText>
      </w:r>
      <w:r>
        <w:rPr>
          <w:color w:val="auto"/>
          <w:sz w:val="21"/>
          <w:szCs w:val="21"/>
          <w:highlight w:val="none"/>
        </w:rPr>
        <w:fldChar w:fldCharType="separate"/>
      </w:r>
      <w:r>
        <w:rPr>
          <w:rStyle w:val="19"/>
          <w:rFonts w:hint="eastAsia"/>
          <w:color w:val="auto"/>
          <w:sz w:val="21"/>
          <w:szCs w:val="21"/>
          <w:highlight w:val="none"/>
        </w:rPr>
        <w:t>第二章　投标人须知</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7</w:t>
      </w:r>
    </w:p>
    <w:p w14:paraId="7F9B346B">
      <w:pPr>
        <w:pStyle w:val="13"/>
        <w:tabs>
          <w:tab w:val="right" w:leader="dot" w:pos="9060"/>
        </w:tabs>
        <w:rPr>
          <w:rFonts w:hint="eastAsia"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"_Toc132880273" </w:instrText>
      </w:r>
      <w:r>
        <w:rPr>
          <w:color w:val="auto"/>
          <w:sz w:val="21"/>
          <w:szCs w:val="21"/>
          <w:highlight w:val="none"/>
        </w:rPr>
        <w:fldChar w:fldCharType="separate"/>
      </w:r>
      <w:r>
        <w:rPr>
          <w:rStyle w:val="19"/>
          <w:rFonts w:hint="eastAsia"/>
          <w:color w:val="auto"/>
          <w:sz w:val="21"/>
          <w:szCs w:val="21"/>
          <w:highlight w:val="none"/>
        </w:rPr>
        <w:t>投标人须知前附表</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7</w:t>
      </w:r>
    </w:p>
    <w:p w14:paraId="64CBA88C">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"_Toc132880274" </w:instrText>
      </w:r>
      <w:r>
        <w:rPr>
          <w:color w:val="auto"/>
          <w:sz w:val="21"/>
          <w:szCs w:val="21"/>
          <w:highlight w:val="none"/>
        </w:rPr>
        <w:fldChar w:fldCharType="separate"/>
      </w:r>
      <w:r>
        <w:rPr>
          <w:rStyle w:val="19"/>
          <w:rFonts w:hint="eastAsia"/>
          <w:color w:val="auto"/>
          <w:sz w:val="21"/>
          <w:szCs w:val="21"/>
          <w:highlight w:val="none"/>
        </w:rPr>
        <w:t>一、总则</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14</w:t>
      </w:r>
    </w:p>
    <w:p w14:paraId="4BD48738">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"_Toc132880275" </w:instrText>
      </w:r>
      <w:r>
        <w:rPr>
          <w:color w:val="auto"/>
          <w:sz w:val="21"/>
          <w:szCs w:val="21"/>
          <w:highlight w:val="none"/>
        </w:rPr>
        <w:fldChar w:fldCharType="separate"/>
      </w:r>
      <w:r>
        <w:rPr>
          <w:rStyle w:val="19"/>
          <w:rFonts w:hint="eastAsia"/>
          <w:color w:val="auto"/>
          <w:sz w:val="21"/>
          <w:szCs w:val="21"/>
          <w:highlight w:val="none"/>
        </w:rPr>
        <w:t>二、招标文件</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15</w:t>
      </w:r>
    </w:p>
    <w:p w14:paraId="7DDA5CD1">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"_Toc132880276" </w:instrText>
      </w:r>
      <w:r>
        <w:rPr>
          <w:color w:val="auto"/>
          <w:sz w:val="21"/>
          <w:szCs w:val="21"/>
          <w:highlight w:val="none"/>
        </w:rPr>
        <w:fldChar w:fldCharType="separate"/>
      </w:r>
      <w:r>
        <w:rPr>
          <w:rStyle w:val="19"/>
          <w:rFonts w:hint="eastAsia"/>
          <w:color w:val="auto"/>
          <w:sz w:val="21"/>
          <w:szCs w:val="21"/>
          <w:highlight w:val="none"/>
        </w:rPr>
        <w:t>三、投标文件</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16</w:t>
      </w:r>
    </w:p>
    <w:p w14:paraId="4EAF36E5">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"_Toc132880277" </w:instrText>
      </w:r>
      <w:r>
        <w:rPr>
          <w:color w:val="auto"/>
          <w:sz w:val="21"/>
          <w:szCs w:val="21"/>
          <w:highlight w:val="none"/>
        </w:rPr>
        <w:fldChar w:fldCharType="separate"/>
      </w:r>
      <w:r>
        <w:rPr>
          <w:rStyle w:val="19"/>
          <w:rFonts w:hint="eastAsia"/>
          <w:color w:val="auto"/>
          <w:sz w:val="21"/>
          <w:szCs w:val="21"/>
          <w:highlight w:val="none"/>
        </w:rPr>
        <w:t>四、投标文件递交</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18</w:t>
      </w:r>
    </w:p>
    <w:p w14:paraId="58DC082E">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"_Toc132880278" </w:instrText>
      </w:r>
      <w:r>
        <w:rPr>
          <w:color w:val="auto"/>
          <w:sz w:val="21"/>
          <w:szCs w:val="21"/>
          <w:highlight w:val="none"/>
        </w:rPr>
        <w:fldChar w:fldCharType="separate"/>
      </w:r>
      <w:r>
        <w:rPr>
          <w:rStyle w:val="19"/>
          <w:rFonts w:hint="eastAsia"/>
          <w:color w:val="auto"/>
          <w:sz w:val="21"/>
          <w:szCs w:val="21"/>
          <w:highlight w:val="none"/>
        </w:rPr>
        <w:t>五、开标与评标</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18</w:t>
      </w:r>
    </w:p>
    <w:p w14:paraId="55956CFE">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"_Toc132880279" </w:instrText>
      </w:r>
      <w:r>
        <w:rPr>
          <w:color w:val="auto"/>
          <w:sz w:val="21"/>
          <w:szCs w:val="21"/>
          <w:highlight w:val="none"/>
        </w:rPr>
        <w:fldChar w:fldCharType="separate"/>
      </w:r>
      <w:r>
        <w:rPr>
          <w:rStyle w:val="19"/>
          <w:rFonts w:hint="eastAsia"/>
          <w:color w:val="auto"/>
          <w:sz w:val="21"/>
          <w:szCs w:val="21"/>
          <w:highlight w:val="none"/>
        </w:rPr>
        <w:t>六、中标和合同</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22</w:t>
      </w:r>
    </w:p>
    <w:p w14:paraId="0EC17E4D">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"_Toc132880280" </w:instrText>
      </w:r>
      <w:r>
        <w:rPr>
          <w:color w:val="auto"/>
          <w:sz w:val="21"/>
          <w:szCs w:val="21"/>
          <w:highlight w:val="none"/>
        </w:rPr>
        <w:fldChar w:fldCharType="separate"/>
      </w:r>
      <w:r>
        <w:rPr>
          <w:rStyle w:val="19"/>
          <w:rFonts w:hint="eastAsia"/>
          <w:color w:val="auto"/>
          <w:sz w:val="21"/>
          <w:szCs w:val="21"/>
          <w:highlight w:val="none"/>
        </w:rPr>
        <w:t>七、询问和质疑</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23</w:t>
      </w:r>
    </w:p>
    <w:p w14:paraId="3F41B1A6">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"_Toc132880281" </w:instrText>
      </w:r>
      <w:r>
        <w:rPr>
          <w:color w:val="auto"/>
          <w:sz w:val="21"/>
          <w:szCs w:val="21"/>
          <w:highlight w:val="none"/>
        </w:rPr>
        <w:fldChar w:fldCharType="separate"/>
      </w:r>
      <w:r>
        <w:rPr>
          <w:rStyle w:val="19"/>
          <w:rFonts w:hint="eastAsia"/>
          <w:color w:val="auto"/>
          <w:sz w:val="21"/>
          <w:szCs w:val="21"/>
          <w:highlight w:val="none"/>
        </w:rPr>
        <w:t>八、其他</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23</w:t>
      </w:r>
    </w:p>
    <w:p w14:paraId="59A9D48B">
      <w:pPr>
        <w:pStyle w:val="12"/>
        <w:tabs>
          <w:tab w:val="right" w:leader="dot" w:pos="9060"/>
        </w:tabs>
        <w:rPr>
          <w:rFonts w:hint="default" w:ascii="Calibri" w:hAnsi="Calibri" w:eastAsia="宋体" w:cs="Times New Roman"/>
          <w:b w:val="0"/>
          <w:bCs w:val="0"/>
          <w:caps w:val="0"/>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"_Toc132880282" </w:instrText>
      </w:r>
      <w:r>
        <w:rPr>
          <w:color w:val="auto"/>
          <w:sz w:val="21"/>
          <w:szCs w:val="21"/>
          <w:highlight w:val="none"/>
        </w:rPr>
        <w:fldChar w:fldCharType="separate"/>
      </w:r>
      <w:r>
        <w:rPr>
          <w:rStyle w:val="19"/>
          <w:rFonts w:hint="eastAsia"/>
          <w:color w:val="auto"/>
          <w:sz w:val="21"/>
          <w:szCs w:val="21"/>
          <w:highlight w:val="none"/>
        </w:rPr>
        <w:t>第三章</w:t>
      </w:r>
      <w:r>
        <w:rPr>
          <w:rStyle w:val="19"/>
          <w:color w:val="auto"/>
          <w:sz w:val="21"/>
          <w:szCs w:val="21"/>
          <w:highlight w:val="none"/>
        </w:rPr>
        <w:t xml:space="preserve">  </w:t>
      </w:r>
      <w:r>
        <w:rPr>
          <w:rStyle w:val="19"/>
          <w:rFonts w:hint="eastAsia"/>
          <w:color w:val="auto"/>
          <w:sz w:val="21"/>
          <w:szCs w:val="21"/>
          <w:highlight w:val="none"/>
        </w:rPr>
        <w:t>评标方法及标准</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25</w:t>
      </w:r>
    </w:p>
    <w:p w14:paraId="573534D4">
      <w:pPr>
        <w:pStyle w:val="12"/>
        <w:tabs>
          <w:tab w:val="right" w:leader="dot" w:pos="9060"/>
        </w:tabs>
        <w:rPr>
          <w:rFonts w:hint="default" w:ascii="Calibri" w:hAnsi="Calibri" w:eastAsia="宋体" w:cs="Times New Roman"/>
          <w:b w:val="0"/>
          <w:bCs w:val="0"/>
          <w:caps w:val="0"/>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"_Toc132880283" </w:instrText>
      </w:r>
      <w:r>
        <w:rPr>
          <w:color w:val="auto"/>
          <w:sz w:val="21"/>
          <w:szCs w:val="21"/>
          <w:highlight w:val="none"/>
        </w:rPr>
        <w:fldChar w:fldCharType="separate"/>
      </w:r>
      <w:r>
        <w:rPr>
          <w:rStyle w:val="19"/>
          <w:rFonts w:hint="eastAsia"/>
          <w:color w:val="auto"/>
          <w:sz w:val="21"/>
          <w:szCs w:val="21"/>
          <w:highlight w:val="none"/>
        </w:rPr>
        <w:t>第四章</w:t>
      </w:r>
      <w:r>
        <w:rPr>
          <w:rStyle w:val="19"/>
          <w:color w:val="auto"/>
          <w:sz w:val="21"/>
          <w:szCs w:val="21"/>
          <w:highlight w:val="none"/>
        </w:rPr>
        <w:t xml:space="preserve">  </w:t>
      </w:r>
      <w:r>
        <w:rPr>
          <w:rStyle w:val="19"/>
          <w:rFonts w:hint="eastAsia"/>
          <w:color w:val="auto"/>
          <w:sz w:val="21"/>
          <w:szCs w:val="21"/>
          <w:highlight w:val="none"/>
        </w:rPr>
        <w:t>政府采购合同文本</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50</w:t>
      </w:r>
    </w:p>
    <w:p w14:paraId="29F352F5">
      <w:pPr>
        <w:pStyle w:val="12"/>
        <w:tabs>
          <w:tab w:val="right" w:leader="dot" w:pos="9060"/>
        </w:tabs>
        <w:rPr>
          <w:rFonts w:hint="default" w:ascii="Calibri" w:hAnsi="Calibri" w:eastAsia="宋体" w:cs="Times New Roman"/>
          <w:b w:val="0"/>
          <w:bCs w:val="0"/>
          <w:caps w:val="0"/>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"_Toc132880284" </w:instrText>
      </w:r>
      <w:r>
        <w:rPr>
          <w:color w:val="auto"/>
          <w:sz w:val="21"/>
          <w:szCs w:val="21"/>
          <w:highlight w:val="none"/>
        </w:rPr>
        <w:fldChar w:fldCharType="separate"/>
      </w:r>
      <w:r>
        <w:rPr>
          <w:rStyle w:val="19"/>
          <w:rFonts w:hint="eastAsia"/>
          <w:color w:val="auto"/>
          <w:sz w:val="21"/>
          <w:szCs w:val="21"/>
          <w:highlight w:val="none"/>
        </w:rPr>
        <w:t>第五章　投标文件格式</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64</w:t>
      </w:r>
    </w:p>
    <w:p w14:paraId="64F60290">
      <w:pPr>
        <w:pStyle w:val="12"/>
        <w:tabs>
          <w:tab w:val="right" w:leader="dot" w:pos="9060"/>
        </w:tabs>
        <w:rPr>
          <w:rFonts w:hint="default" w:ascii="Calibri" w:hAnsi="Calibri" w:eastAsia="宋体" w:cs="Times New Roman"/>
          <w:b w:val="0"/>
          <w:bCs w:val="0"/>
          <w:caps w:val="0"/>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"_Toc132880285" </w:instrText>
      </w:r>
      <w:r>
        <w:rPr>
          <w:color w:val="auto"/>
          <w:sz w:val="21"/>
          <w:szCs w:val="21"/>
          <w:highlight w:val="none"/>
        </w:rPr>
        <w:fldChar w:fldCharType="separate"/>
      </w:r>
      <w:r>
        <w:rPr>
          <w:rStyle w:val="19"/>
          <w:rFonts w:hint="eastAsia"/>
          <w:color w:val="auto"/>
          <w:sz w:val="21"/>
          <w:szCs w:val="21"/>
          <w:highlight w:val="none"/>
        </w:rPr>
        <w:t>第六章</w:t>
      </w:r>
      <w:r>
        <w:rPr>
          <w:rStyle w:val="19"/>
          <w:color w:val="auto"/>
          <w:sz w:val="21"/>
          <w:szCs w:val="21"/>
          <w:highlight w:val="none"/>
        </w:rPr>
        <w:t xml:space="preserve">  </w:t>
      </w:r>
      <w:r>
        <w:rPr>
          <w:rStyle w:val="19"/>
          <w:rFonts w:hint="eastAsia"/>
          <w:color w:val="auto"/>
          <w:sz w:val="21"/>
          <w:szCs w:val="21"/>
          <w:highlight w:val="none"/>
        </w:rPr>
        <w:t>项目采购需求</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92</w:t>
      </w:r>
    </w:p>
    <w:p w14:paraId="68716A15">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"_Toc132880286" </w:instrText>
      </w:r>
      <w:r>
        <w:rPr>
          <w:color w:val="auto"/>
          <w:sz w:val="21"/>
          <w:szCs w:val="21"/>
          <w:highlight w:val="none"/>
        </w:rPr>
        <w:fldChar w:fldCharType="separate"/>
      </w:r>
      <w:r>
        <w:rPr>
          <w:rStyle w:val="19"/>
          <w:rFonts w:hint="eastAsia"/>
          <w:color w:val="auto"/>
          <w:sz w:val="21"/>
          <w:szCs w:val="21"/>
          <w:highlight w:val="none"/>
        </w:rPr>
        <w:t>一、项目概况</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92</w:t>
      </w:r>
    </w:p>
    <w:p w14:paraId="5FC6CFFA">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"_Toc132880287" </w:instrText>
      </w:r>
      <w:r>
        <w:rPr>
          <w:color w:val="auto"/>
          <w:sz w:val="21"/>
          <w:szCs w:val="21"/>
          <w:highlight w:val="none"/>
        </w:rPr>
        <w:fldChar w:fldCharType="separate"/>
      </w:r>
      <w:r>
        <w:rPr>
          <w:rStyle w:val="19"/>
          <w:rFonts w:hint="eastAsia"/>
          <w:color w:val="auto"/>
          <w:sz w:val="21"/>
          <w:szCs w:val="21"/>
          <w:highlight w:val="none"/>
        </w:rPr>
        <w:t>二、技术要求</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92</w:t>
      </w:r>
    </w:p>
    <w:p w14:paraId="56D6DAB4">
      <w:pPr>
        <w:pStyle w:val="13"/>
        <w:tabs>
          <w:tab w:val="right" w:leader="dot" w:pos="9060"/>
        </w:tabs>
        <w:rPr>
          <w:rFonts w:hint="default" w:ascii="Calibri" w:hAnsi="Calibri" w:eastAsia="宋体" w:cs="Times New Roman"/>
          <w:color w:val="auto"/>
          <w:sz w:val="21"/>
          <w:szCs w:val="21"/>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"_Toc132880288" </w:instrText>
      </w:r>
      <w:r>
        <w:rPr>
          <w:color w:val="auto"/>
          <w:sz w:val="21"/>
          <w:szCs w:val="21"/>
          <w:highlight w:val="none"/>
        </w:rPr>
        <w:fldChar w:fldCharType="separate"/>
      </w:r>
      <w:r>
        <w:rPr>
          <w:rStyle w:val="19"/>
          <w:rFonts w:hint="eastAsia"/>
          <w:color w:val="auto"/>
          <w:sz w:val="21"/>
          <w:szCs w:val="21"/>
          <w:highlight w:val="none"/>
        </w:rPr>
        <w:t>三、商务要求</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102</w:t>
      </w:r>
    </w:p>
    <w:p w14:paraId="4E3AF01E">
      <w:pPr>
        <w:pStyle w:val="13"/>
        <w:tabs>
          <w:tab w:val="right" w:leader="dot" w:pos="9060"/>
        </w:tabs>
        <w:rPr>
          <w:rFonts w:hint="default" w:ascii="Calibri" w:hAnsi="Calibri" w:eastAsia="宋体" w:cs="Times New Roman"/>
          <w:color w:val="auto"/>
          <w:szCs w:val="22"/>
          <w:highlight w:val="none"/>
          <w:lang w:val="en-US" w:eastAsia="zh-CN"/>
        </w:rPr>
      </w:pPr>
      <w:r>
        <w:rPr>
          <w:color w:val="auto"/>
          <w:sz w:val="21"/>
          <w:szCs w:val="21"/>
          <w:highlight w:val="none"/>
        </w:rPr>
        <w:fldChar w:fldCharType="begin"/>
      </w:r>
      <w:r>
        <w:rPr>
          <w:color w:val="auto"/>
          <w:sz w:val="21"/>
          <w:szCs w:val="21"/>
          <w:highlight w:val="none"/>
        </w:rPr>
        <w:instrText xml:space="preserve"> HYPERLINK \l "_Toc132880289" </w:instrText>
      </w:r>
      <w:r>
        <w:rPr>
          <w:color w:val="auto"/>
          <w:sz w:val="21"/>
          <w:szCs w:val="21"/>
          <w:highlight w:val="none"/>
        </w:rPr>
        <w:fldChar w:fldCharType="separate"/>
      </w:r>
      <w:r>
        <w:rPr>
          <w:rStyle w:val="19"/>
          <w:rFonts w:hint="eastAsia"/>
          <w:color w:val="auto"/>
          <w:sz w:val="21"/>
          <w:szCs w:val="21"/>
          <w:highlight w:val="none"/>
        </w:rPr>
        <w:t>四、其他事项</w:t>
      </w:r>
      <w:r>
        <w:rPr>
          <w:color w:val="auto"/>
          <w:sz w:val="21"/>
          <w:szCs w:val="21"/>
          <w:highlight w:val="none"/>
        </w:rPr>
        <w:tab/>
      </w:r>
      <w:r>
        <w:rPr>
          <w:color w:val="auto"/>
          <w:sz w:val="21"/>
          <w:szCs w:val="21"/>
          <w:highlight w:val="none"/>
        </w:rPr>
        <w:fldChar w:fldCharType="end"/>
      </w:r>
      <w:r>
        <w:rPr>
          <w:rFonts w:hint="eastAsia"/>
          <w:color w:val="auto"/>
          <w:sz w:val="21"/>
          <w:szCs w:val="21"/>
          <w:highlight w:val="none"/>
          <w:lang w:val="en-US" w:eastAsia="zh-CN"/>
        </w:rPr>
        <w:t>106</w:t>
      </w:r>
    </w:p>
    <w:p w14:paraId="0530D24D">
      <w:pPr>
        <w:rPr>
          <w:color w:val="auto"/>
          <w:highlight w:val="none"/>
        </w:rPr>
      </w:pPr>
      <w:r>
        <w:rPr>
          <w:color w:val="auto"/>
          <w:highlight w:val="none"/>
        </w:rPr>
        <w:fldChar w:fldCharType="end"/>
      </w:r>
    </w:p>
    <w:p w14:paraId="2DEBD1DD">
      <w:pPr>
        <w:rPr>
          <w:b/>
          <w:color w:val="auto"/>
          <w:sz w:val="44"/>
          <w:szCs w:val="44"/>
          <w:highlight w:val="none"/>
        </w:rPr>
      </w:pPr>
    </w:p>
    <w:p w14:paraId="406C4E7B">
      <w:pPr>
        <w:rPr>
          <w:color w:val="auto"/>
          <w:highlight w:val="none"/>
        </w:rPr>
      </w:pPr>
    </w:p>
    <w:p w14:paraId="4EB81B78">
      <w:pPr>
        <w:rPr>
          <w:color w:val="auto"/>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7779DFE">
      <w:pPr>
        <w:bidi w:val="0"/>
        <w:jc w:val="center"/>
        <w:rPr>
          <w:rFonts w:hint="eastAsia" w:ascii="华文中宋" w:hAnsi="华文中宋" w:eastAsia="华文中宋" w:cs="华文中宋"/>
          <w:color w:val="auto"/>
          <w:sz w:val="28"/>
          <w:szCs w:val="28"/>
          <w:highlight w:val="none"/>
        </w:rPr>
      </w:pPr>
      <w:bookmarkStart w:id="0" w:name="_Toc132880271"/>
      <w:r>
        <w:rPr>
          <w:rFonts w:hint="eastAsia" w:ascii="华文中宋" w:hAnsi="华文中宋" w:eastAsia="华文中宋" w:cs="华文中宋"/>
          <w:color w:val="auto"/>
          <w:sz w:val="28"/>
          <w:szCs w:val="28"/>
          <w:highlight w:val="none"/>
        </w:rPr>
        <w:t>第一章  投标邀请</w:t>
      </w:r>
      <w:bookmarkEnd w:id="0"/>
    </w:p>
    <w:p w14:paraId="387544B2">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36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项目概况</w:t>
      </w:r>
    </w:p>
    <w:p w14:paraId="58328177">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s="Times New Roman"/>
          <w:color w:val="auto"/>
          <w:sz w:val="21"/>
          <w:szCs w:val="21"/>
          <w:highlight w:val="none"/>
          <w:u w:val="single"/>
          <w:lang w:val="en-US" w:eastAsia="zh-CN"/>
        </w:rPr>
        <w:t xml:space="preserve"> 国家税务总局三明市三元区税务局2025-2026年食堂食材配送服务项目 </w:t>
      </w:r>
      <w:r>
        <w:rPr>
          <w:rFonts w:hint="eastAsia" w:ascii="宋体" w:hAnsi="宋体" w:eastAsia="宋体"/>
          <w:color w:val="auto"/>
          <w:sz w:val="21"/>
          <w:szCs w:val="21"/>
          <w:highlight w:val="none"/>
        </w:rPr>
        <w:t>招标项目的潜在投标人应在</w:t>
      </w:r>
      <w:r>
        <w:rPr>
          <w:rFonts w:hint="eastAsia" w:ascii="宋体" w:hAnsi="宋体" w:eastAsia="宋体" w:cs="Times New Roman"/>
          <w:color w:val="auto"/>
          <w:sz w:val="21"/>
          <w:szCs w:val="21"/>
          <w:highlight w:val="none"/>
          <w:u w:val="single"/>
          <w:lang w:val="en-US" w:eastAsia="zh-CN"/>
        </w:rPr>
        <w:t>福建省三明市三元区新市南路178号四层</w:t>
      </w:r>
      <w:r>
        <w:rPr>
          <w:rFonts w:hint="eastAsia" w:ascii="宋体" w:hAnsi="宋体" w:eastAsia="宋体"/>
          <w:color w:val="auto"/>
          <w:sz w:val="21"/>
          <w:szCs w:val="21"/>
          <w:highlight w:val="none"/>
        </w:rPr>
        <w:t>获取招标文件，并于</w:t>
      </w:r>
      <w:r>
        <w:rPr>
          <w:rFonts w:hint="eastAsia" w:ascii="宋体" w:hAnsi="宋体"/>
          <w:color w:val="0000FF"/>
          <w:sz w:val="21"/>
          <w:szCs w:val="21"/>
          <w:highlight w:val="none"/>
          <w:u w:val="single"/>
          <w:lang w:val="en-US" w:eastAsia="zh-CN"/>
        </w:rPr>
        <w:t>2025</w:t>
      </w:r>
      <w:r>
        <w:rPr>
          <w:rFonts w:hint="eastAsia" w:ascii="宋体" w:hAnsi="宋体" w:eastAsia="宋体"/>
          <w:bCs/>
          <w:color w:val="0000FF"/>
          <w:sz w:val="21"/>
          <w:szCs w:val="21"/>
          <w:highlight w:val="none"/>
          <w:u w:val="single"/>
        </w:rPr>
        <w:t>年</w:t>
      </w:r>
      <w:r>
        <w:rPr>
          <w:rFonts w:hint="eastAsia" w:ascii="宋体" w:hAnsi="宋体"/>
          <w:bCs/>
          <w:color w:val="0000FF"/>
          <w:sz w:val="21"/>
          <w:szCs w:val="21"/>
          <w:highlight w:val="none"/>
          <w:u w:val="single"/>
          <w:lang w:val="en-US" w:eastAsia="zh-CN"/>
        </w:rPr>
        <w:t>05</w:t>
      </w:r>
      <w:r>
        <w:rPr>
          <w:rFonts w:hint="eastAsia" w:ascii="宋体" w:hAnsi="宋体" w:eastAsia="宋体"/>
          <w:bCs/>
          <w:color w:val="0000FF"/>
          <w:sz w:val="21"/>
          <w:szCs w:val="21"/>
          <w:highlight w:val="none"/>
          <w:u w:val="single"/>
        </w:rPr>
        <w:t>月</w:t>
      </w:r>
      <w:r>
        <w:rPr>
          <w:rFonts w:hint="eastAsia" w:ascii="宋体" w:hAnsi="宋体"/>
          <w:bCs/>
          <w:color w:val="0000FF"/>
          <w:sz w:val="21"/>
          <w:szCs w:val="21"/>
          <w:highlight w:val="none"/>
          <w:u w:val="single"/>
          <w:lang w:val="en-US" w:eastAsia="zh-CN"/>
        </w:rPr>
        <w:t>27</w:t>
      </w:r>
      <w:r>
        <w:rPr>
          <w:rFonts w:hint="eastAsia" w:ascii="宋体" w:hAnsi="宋体" w:eastAsia="宋体"/>
          <w:bCs/>
          <w:color w:val="0000FF"/>
          <w:sz w:val="21"/>
          <w:szCs w:val="21"/>
          <w:highlight w:val="none"/>
          <w:u w:val="single"/>
        </w:rPr>
        <w:t>日</w:t>
      </w:r>
      <w:r>
        <w:rPr>
          <w:rFonts w:hint="eastAsia" w:ascii="宋体" w:hAnsi="宋体"/>
          <w:bCs/>
          <w:color w:val="0000FF"/>
          <w:sz w:val="21"/>
          <w:szCs w:val="21"/>
          <w:highlight w:val="none"/>
          <w:u w:val="single"/>
          <w:lang w:val="en-US" w:eastAsia="zh-CN"/>
        </w:rPr>
        <w:t>09</w:t>
      </w:r>
      <w:r>
        <w:rPr>
          <w:rFonts w:hint="eastAsia" w:ascii="宋体" w:hAnsi="宋体" w:eastAsia="宋体"/>
          <w:bCs/>
          <w:color w:val="0000FF"/>
          <w:sz w:val="21"/>
          <w:szCs w:val="21"/>
          <w:highlight w:val="none"/>
          <w:u w:val="single"/>
        </w:rPr>
        <w:t>点</w:t>
      </w:r>
      <w:r>
        <w:rPr>
          <w:rFonts w:hint="eastAsia" w:ascii="宋体" w:hAnsi="宋体"/>
          <w:bCs/>
          <w:color w:val="0000FF"/>
          <w:sz w:val="21"/>
          <w:szCs w:val="21"/>
          <w:highlight w:val="none"/>
          <w:u w:val="single"/>
          <w:lang w:val="en-US" w:eastAsia="zh-CN"/>
        </w:rPr>
        <w:t>00</w:t>
      </w:r>
      <w:r>
        <w:rPr>
          <w:rFonts w:hint="eastAsia" w:ascii="宋体" w:hAnsi="宋体" w:eastAsia="宋体"/>
          <w:bCs/>
          <w:color w:val="0000FF"/>
          <w:sz w:val="21"/>
          <w:szCs w:val="21"/>
          <w:highlight w:val="none"/>
          <w:u w:val="single"/>
        </w:rPr>
        <w:t>分</w:t>
      </w:r>
      <w:r>
        <w:rPr>
          <w:rFonts w:hint="eastAsia" w:ascii="宋体" w:hAnsi="宋体" w:eastAsia="宋体"/>
          <w:bCs/>
          <w:color w:val="auto"/>
          <w:sz w:val="21"/>
          <w:szCs w:val="21"/>
          <w:highlight w:val="none"/>
          <w:u w:val="single"/>
        </w:rPr>
        <w:t>（</w:t>
      </w:r>
      <w:r>
        <w:rPr>
          <w:rFonts w:hint="eastAsia" w:ascii="宋体" w:hAnsi="宋体" w:eastAsia="宋体"/>
          <w:bCs/>
          <w:color w:val="auto"/>
          <w:sz w:val="21"/>
          <w:szCs w:val="21"/>
          <w:highlight w:val="none"/>
        </w:rPr>
        <w:t>北京时间）前递交投标</w:t>
      </w:r>
      <w:r>
        <w:rPr>
          <w:rFonts w:ascii="宋体" w:hAnsi="宋体" w:eastAsia="宋体"/>
          <w:bCs/>
          <w:color w:val="auto"/>
          <w:sz w:val="21"/>
          <w:szCs w:val="21"/>
          <w:highlight w:val="none"/>
        </w:rPr>
        <w:t>文件</w:t>
      </w:r>
      <w:r>
        <w:rPr>
          <w:rFonts w:hint="eastAsia" w:ascii="宋体" w:hAnsi="宋体" w:eastAsia="宋体"/>
          <w:color w:val="auto"/>
          <w:sz w:val="21"/>
          <w:szCs w:val="21"/>
          <w:highlight w:val="none"/>
        </w:rPr>
        <w:t>。</w:t>
      </w:r>
    </w:p>
    <w:p w14:paraId="325CB7A2">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一、项目基本情况</w:t>
      </w:r>
    </w:p>
    <w:p w14:paraId="20DA83FF">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项目编号：FJ2025-DLGK-C0034-B03</w:t>
      </w:r>
    </w:p>
    <w:p w14:paraId="6C516436">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Times New Roman"/>
          <w:color w:val="auto"/>
          <w:sz w:val="21"/>
          <w:szCs w:val="21"/>
          <w:highlight w:val="none"/>
        </w:rPr>
      </w:pPr>
      <w:bookmarkStart w:id="67" w:name="_GoBack"/>
      <w:r>
        <w:rPr>
          <w:rFonts w:hint="eastAsia" w:ascii="宋体" w:hAnsi="宋体" w:eastAsia="宋体"/>
          <w:color w:val="auto"/>
          <w:sz w:val="21"/>
          <w:szCs w:val="21"/>
          <w:highlight w:val="none"/>
        </w:rPr>
        <w:t>项目名称：</w:t>
      </w:r>
      <w:r>
        <w:rPr>
          <w:rFonts w:hint="eastAsia" w:ascii="宋体" w:hAnsi="宋体" w:eastAsia="宋体" w:cs="Times New Roman"/>
          <w:color w:val="auto"/>
          <w:sz w:val="21"/>
          <w:szCs w:val="21"/>
          <w:highlight w:val="none"/>
          <w:lang w:eastAsia="zh-CN"/>
        </w:rPr>
        <w:t>国家税务总局三明市三元区税务局2025-2026年食堂食材配送服务项目</w:t>
      </w:r>
    </w:p>
    <w:bookmarkEnd w:id="67"/>
    <w:p w14:paraId="4EBE8B47">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预算金额：</w:t>
      </w:r>
      <w:r>
        <w:rPr>
          <w:rFonts w:hint="eastAsia" w:ascii="宋体" w:hAnsi="宋体"/>
          <w:color w:val="auto"/>
          <w:sz w:val="21"/>
          <w:szCs w:val="21"/>
          <w:highlight w:val="none"/>
          <w:lang w:val="en-US" w:eastAsia="zh-CN"/>
        </w:rPr>
        <w:t>135万元</w:t>
      </w:r>
    </w:p>
    <w:p w14:paraId="1120E5BC">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采购需求：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564"/>
        <w:gridCol w:w="1742"/>
        <w:gridCol w:w="2809"/>
        <w:gridCol w:w="1792"/>
        <w:gridCol w:w="1242"/>
      </w:tblGrid>
      <w:tr w14:paraId="2976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0" w:type="auto"/>
            <w:tcBorders>
              <w:top w:val="single" w:color="auto" w:sz="4" w:space="0"/>
              <w:left w:val="single" w:color="auto" w:sz="4" w:space="0"/>
              <w:bottom w:val="single" w:color="auto" w:sz="4" w:space="0"/>
              <w:right w:val="single" w:color="auto" w:sz="4" w:space="0"/>
            </w:tcBorders>
            <w:noWrap w:val="0"/>
            <w:vAlign w:val="center"/>
          </w:tcPr>
          <w:p w14:paraId="45C20A13">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合同包</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EFFB1E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品目号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CD516D1">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类别</w:t>
            </w:r>
          </w:p>
        </w:tc>
        <w:tc>
          <w:tcPr>
            <w:tcW w:w="2809" w:type="dxa"/>
            <w:tcBorders>
              <w:top w:val="single" w:color="auto" w:sz="4" w:space="0"/>
              <w:left w:val="single" w:color="auto" w:sz="4" w:space="0"/>
              <w:bottom w:val="single" w:color="auto" w:sz="4" w:space="0"/>
              <w:right w:val="single" w:color="auto" w:sz="4" w:space="0"/>
            </w:tcBorders>
            <w:noWrap w:val="0"/>
            <w:vAlign w:val="center"/>
          </w:tcPr>
          <w:p w14:paraId="13F9038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简要概况</w:t>
            </w:r>
          </w:p>
        </w:tc>
        <w:tc>
          <w:tcPr>
            <w:tcW w:w="1792" w:type="dxa"/>
            <w:tcBorders>
              <w:top w:val="single" w:color="auto" w:sz="4" w:space="0"/>
              <w:left w:val="single" w:color="auto" w:sz="4" w:space="0"/>
              <w:bottom w:val="single" w:color="auto" w:sz="4" w:space="0"/>
              <w:right w:val="single" w:color="auto" w:sz="4" w:space="0"/>
            </w:tcBorders>
            <w:noWrap w:val="0"/>
            <w:vAlign w:val="center"/>
          </w:tcPr>
          <w:p w14:paraId="23885FB1">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预算</w:t>
            </w:r>
            <w:r>
              <w:rPr>
                <w:rFonts w:hint="eastAsia" w:ascii="宋体" w:hAnsi="宋体" w:eastAsia="宋体" w:cs="Times New Roman"/>
                <w:color w:val="auto"/>
                <w:sz w:val="21"/>
                <w:szCs w:val="21"/>
                <w:highlight w:val="none"/>
                <w:lang w:val="en-US" w:eastAsia="zh-CN"/>
              </w:rPr>
              <w:t>金额约</w:t>
            </w:r>
            <w:r>
              <w:rPr>
                <w:rFonts w:hint="eastAsia" w:ascii="宋体" w:hAnsi="宋体" w:eastAsia="宋体" w:cs="Times New Roman"/>
                <w:color w:val="auto"/>
                <w:sz w:val="21"/>
                <w:szCs w:val="21"/>
                <w:highlight w:val="none"/>
                <w:lang w:eastAsia="zh-CN"/>
              </w:rPr>
              <w:t>（万元）</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7D41A5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服务期限</w:t>
            </w:r>
          </w:p>
        </w:tc>
      </w:tr>
      <w:tr w14:paraId="2DD91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0" w:type="auto"/>
            <w:tcBorders>
              <w:top w:val="single" w:color="auto" w:sz="4" w:space="0"/>
              <w:left w:val="single" w:color="auto" w:sz="4" w:space="0"/>
              <w:right w:val="single" w:color="auto" w:sz="4" w:space="0"/>
            </w:tcBorders>
            <w:noWrap w:val="0"/>
            <w:vAlign w:val="center"/>
          </w:tcPr>
          <w:p w14:paraId="6BAA0FE6">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1</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1EE1D5C">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715341B">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蔬菜、豆制品、海鲜、冻品食材类</w:t>
            </w:r>
          </w:p>
        </w:tc>
        <w:tc>
          <w:tcPr>
            <w:tcW w:w="2809" w:type="dxa"/>
            <w:vMerge w:val="restart"/>
            <w:tcBorders>
              <w:top w:val="single" w:color="auto" w:sz="4" w:space="0"/>
              <w:left w:val="single" w:color="auto" w:sz="4" w:space="0"/>
              <w:right w:val="single" w:color="auto" w:sz="4" w:space="0"/>
            </w:tcBorders>
            <w:noWrap w:val="0"/>
            <w:vAlign w:val="center"/>
          </w:tcPr>
          <w:p w14:paraId="5485D47E">
            <w:pPr>
              <w:keepNext w:val="0"/>
              <w:keepLines w:val="0"/>
              <w:pageBreakBefore w:val="0"/>
              <w:kinsoku/>
              <w:wordWrap/>
              <w:overflowPunct/>
              <w:topLinePunct w:val="0"/>
              <w:autoSpaceDE/>
              <w:autoSpaceDN/>
              <w:bidi w:val="0"/>
              <w:adjustRightInd/>
              <w:snapToGrid/>
              <w:spacing w:after="0" w:line="360" w:lineRule="auto"/>
              <w:jc w:val="both"/>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本次招标项目为国家税务总局三明市三元区税务局食堂食材配送项目。中标人须保障采购人食堂用餐食材需求，配送范围：各类蔬菜水果，新鲜肉类，禽蛋，豆制品，新鲜水产品，冷冻食品（水产品冻品、肉类冻品），大米、面粉、食用油、调味品、烘焙材料、各类辅料，干货等。</w:t>
            </w:r>
          </w:p>
        </w:tc>
        <w:tc>
          <w:tcPr>
            <w:tcW w:w="1792" w:type="dxa"/>
            <w:tcBorders>
              <w:top w:val="single" w:color="auto" w:sz="4" w:space="0"/>
              <w:left w:val="single" w:color="auto" w:sz="4" w:space="0"/>
              <w:bottom w:val="single" w:color="auto" w:sz="4" w:space="0"/>
              <w:right w:val="single" w:color="auto" w:sz="4" w:space="0"/>
            </w:tcBorders>
            <w:noWrap w:val="0"/>
            <w:vAlign w:val="center"/>
          </w:tcPr>
          <w:p w14:paraId="2980ADCF">
            <w:pPr>
              <w:keepNext w:val="0"/>
              <w:keepLines w:val="0"/>
              <w:pageBreakBefore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45</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3BA175C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12个月</w:t>
            </w:r>
          </w:p>
        </w:tc>
      </w:tr>
      <w:tr w14:paraId="31E7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0" w:type="auto"/>
            <w:tcBorders>
              <w:top w:val="single" w:color="auto" w:sz="4" w:space="0"/>
              <w:left w:val="single" w:color="auto" w:sz="4" w:space="0"/>
              <w:right w:val="single" w:color="auto" w:sz="4" w:space="0"/>
            </w:tcBorders>
            <w:noWrap w:val="0"/>
            <w:vAlign w:val="center"/>
          </w:tcPr>
          <w:p w14:paraId="257CE84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68E3A62">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4EB2D46">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禽蛋肉类</w:t>
            </w:r>
          </w:p>
        </w:tc>
        <w:tc>
          <w:tcPr>
            <w:tcW w:w="2809" w:type="dxa"/>
            <w:vMerge w:val="continue"/>
            <w:tcBorders>
              <w:left w:val="single" w:color="auto" w:sz="4" w:space="0"/>
              <w:right w:val="single" w:color="auto" w:sz="4" w:space="0"/>
            </w:tcBorders>
            <w:noWrap w:val="0"/>
            <w:vAlign w:val="center"/>
          </w:tcPr>
          <w:p w14:paraId="4D3850D6">
            <w:pPr>
              <w:keepNext w:val="0"/>
              <w:keepLines w:val="0"/>
              <w:pageBreakBefore w:val="0"/>
              <w:kinsoku/>
              <w:wordWrap/>
              <w:overflowPunct/>
              <w:topLinePunct w:val="0"/>
              <w:autoSpaceDE/>
              <w:autoSpaceDN/>
              <w:bidi w:val="0"/>
              <w:adjustRightInd/>
              <w:snapToGrid/>
              <w:spacing w:after="0" w:line="360" w:lineRule="auto"/>
              <w:ind w:firstLine="420" w:firstLineChars="200"/>
              <w:jc w:val="center"/>
              <w:textAlignment w:val="auto"/>
              <w:rPr>
                <w:rFonts w:hint="eastAsia" w:ascii="宋体" w:hAnsi="宋体" w:eastAsia="宋体" w:cs="Times New Roman"/>
                <w:color w:val="auto"/>
                <w:sz w:val="21"/>
                <w:szCs w:val="21"/>
                <w:highlight w:val="none"/>
                <w:lang w:val="en-US" w:eastAsia="zh-CN"/>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580D2CA3">
            <w:pPr>
              <w:keepNext w:val="0"/>
              <w:keepLines w:val="0"/>
              <w:pageBreakBefore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70</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3DBBCCB1">
            <w:pPr>
              <w:keepNext w:val="0"/>
              <w:keepLines w:val="0"/>
              <w:pageBreakBefore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12个月</w:t>
            </w:r>
          </w:p>
        </w:tc>
      </w:tr>
      <w:tr w14:paraId="00A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tcBorders>
              <w:top w:val="single" w:color="auto" w:sz="4" w:space="0"/>
              <w:left w:val="single" w:color="auto" w:sz="4" w:space="0"/>
              <w:right w:val="single" w:color="auto" w:sz="4" w:space="0"/>
            </w:tcBorders>
            <w:noWrap w:val="0"/>
            <w:vAlign w:val="center"/>
          </w:tcPr>
          <w:p w14:paraId="35F8CDB0">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395CA24">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8448E47">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调味品、食用油、干货类</w:t>
            </w:r>
          </w:p>
        </w:tc>
        <w:tc>
          <w:tcPr>
            <w:tcW w:w="2809" w:type="dxa"/>
            <w:vMerge w:val="continue"/>
            <w:tcBorders>
              <w:left w:val="single" w:color="auto" w:sz="4" w:space="0"/>
              <w:right w:val="single" w:color="auto" w:sz="4" w:space="0"/>
            </w:tcBorders>
            <w:noWrap w:val="0"/>
            <w:vAlign w:val="center"/>
          </w:tcPr>
          <w:p w14:paraId="62EE7008">
            <w:pPr>
              <w:keepNext w:val="0"/>
              <w:keepLines w:val="0"/>
              <w:pageBreakBefore w:val="0"/>
              <w:kinsoku/>
              <w:wordWrap/>
              <w:overflowPunct/>
              <w:topLinePunct w:val="0"/>
              <w:autoSpaceDE/>
              <w:autoSpaceDN/>
              <w:bidi w:val="0"/>
              <w:adjustRightInd/>
              <w:snapToGrid/>
              <w:spacing w:after="0" w:line="360" w:lineRule="auto"/>
              <w:ind w:firstLine="420" w:firstLineChars="200"/>
              <w:jc w:val="center"/>
              <w:textAlignment w:val="auto"/>
              <w:rPr>
                <w:rFonts w:hint="eastAsia" w:ascii="宋体" w:hAnsi="宋体" w:eastAsia="宋体" w:cs="Times New Roman"/>
                <w:color w:val="auto"/>
                <w:sz w:val="21"/>
                <w:szCs w:val="21"/>
                <w:highlight w:val="none"/>
                <w:lang w:eastAsia="zh-CN"/>
              </w:rPr>
            </w:pPr>
          </w:p>
        </w:tc>
        <w:tc>
          <w:tcPr>
            <w:tcW w:w="1792" w:type="dxa"/>
            <w:tcBorders>
              <w:top w:val="single" w:color="auto" w:sz="4" w:space="0"/>
              <w:left w:val="single" w:color="auto" w:sz="4" w:space="0"/>
              <w:bottom w:val="single" w:color="auto" w:sz="4" w:space="0"/>
              <w:right w:val="single" w:color="auto" w:sz="4" w:space="0"/>
            </w:tcBorders>
            <w:noWrap w:val="0"/>
            <w:vAlign w:val="center"/>
          </w:tcPr>
          <w:p w14:paraId="3DE4180A">
            <w:pPr>
              <w:keepNext w:val="0"/>
              <w:keepLines w:val="0"/>
              <w:pageBreakBefore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w:t>
            </w:r>
          </w:p>
        </w:tc>
        <w:tc>
          <w:tcPr>
            <w:tcW w:w="1242" w:type="dxa"/>
            <w:tcBorders>
              <w:top w:val="single" w:color="auto" w:sz="4" w:space="0"/>
              <w:left w:val="single" w:color="auto" w:sz="4" w:space="0"/>
              <w:bottom w:val="single" w:color="auto" w:sz="4" w:space="0"/>
              <w:right w:val="single" w:color="auto" w:sz="4" w:space="0"/>
            </w:tcBorders>
            <w:noWrap w:val="0"/>
            <w:vAlign w:val="center"/>
          </w:tcPr>
          <w:p w14:paraId="52D249C9">
            <w:pPr>
              <w:keepNext w:val="0"/>
              <w:keepLines w:val="0"/>
              <w:pageBreakBefore w:val="0"/>
              <w:kinsoku/>
              <w:wordWrap/>
              <w:overflowPunct/>
              <w:topLinePunct w:val="0"/>
              <w:autoSpaceDE/>
              <w:autoSpaceDN/>
              <w:bidi w:val="0"/>
              <w:adjustRightInd/>
              <w:snapToGrid/>
              <w:spacing w:after="0" w:line="360" w:lineRule="auto"/>
              <w:jc w:val="center"/>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12个月</w:t>
            </w:r>
          </w:p>
        </w:tc>
      </w:tr>
    </w:tbl>
    <w:p w14:paraId="6C28347D">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olor w:val="auto"/>
          <w:sz w:val="21"/>
          <w:szCs w:val="21"/>
          <w:highlight w:val="none"/>
          <w:u w:val="single"/>
          <w:lang w:val="en-US" w:eastAsia="zh-CN"/>
        </w:rPr>
      </w:pPr>
      <w:r>
        <w:rPr>
          <w:rFonts w:hint="eastAsia" w:ascii="宋体" w:hAnsi="宋体" w:eastAsia="宋体"/>
          <w:color w:val="auto"/>
          <w:sz w:val="21"/>
          <w:szCs w:val="21"/>
          <w:highlight w:val="none"/>
        </w:rPr>
        <w:t xml:space="preserve">合同履行期限： </w:t>
      </w:r>
      <w:r>
        <w:rPr>
          <w:rFonts w:hint="eastAsia" w:ascii="宋体" w:hAnsi="宋体"/>
          <w:color w:val="auto"/>
          <w:sz w:val="21"/>
          <w:szCs w:val="21"/>
          <w:highlight w:val="none"/>
          <w:lang w:val="en-US" w:eastAsia="zh-CN"/>
        </w:rPr>
        <w:t>12个月</w:t>
      </w:r>
    </w:p>
    <w:p w14:paraId="4FD4F3B9">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本项目（</w:t>
      </w:r>
      <w:r>
        <w:rPr>
          <w:rFonts w:hint="eastAsia" w:ascii="宋体" w:hAnsi="宋体"/>
          <w:i/>
          <w:color w:val="auto"/>
          <w:sz w:val="21"/>
          <w:szCs w:val="21"/>
          <w:highlight w:val="none"/>
          <w:lang w:val="en-US" w:eastAsia="zh-CN"/>
        </w:rPr>
        <w:t>不</w:t>
      </w:r>
      <w:r>
        <w:rPr>
          <w:rFonts w:hint="eastAsia" w:ascii="宋体" w:hAnsi="宋体" w:eastAsia="宋体"/>
          <w:color w:val="auto"/>
          <w:sz w:val="21"/>
          <w:szCs w:val="21"/>
          <w:highlight w:val="none"/>
        </w:rPr>
        <w:t>）接受联合体投标。</w:t>
      </w:r>
    </w:p>
    <w:p w14:paraId="435632B8">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二、申请人的资格要求</w:t>
      </w:r>
      <w:r>
        <w:rPr>
          <w:rFonts w:hint="eastAsia" w:ascii="黑体" w:hAnsi="黑体" w:eastAsia="黑体"/>
          <w:color w:val="auto"/>
          <w:sz w:val="21"/>
          <w:szCs w:val="21"/>
          <w:highlight w:val="none"/>
          <w:lang w:eastAsia="zh-CN"/>
        </w:rPr>
        <w:t>（</w:t>
      </w:r>
      <w:r>
        <w:rPr>
          <w:rFonts w:hint="default" w:ascii="Times New Roman" w:hAnsi="Times New Roman" w:eastAsia="宋体" w:cs="Times New Roman"/>
          <w:color w:val="auto"/>
          <w:sz w:val="21"/>
          <w:szCs w:val="21"/>
          <w:highlight w:val="none"/>
        </w:rPr>
        <w:t>采购包1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采购包2、采购包3）</w:t>
      </w:r>
    </w:p>
    <w:p w14:paraId="7EFC4732">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1.满足《中华人民共和国政府采购法》第二十二条规定，并提供下列证明材料：</w:t>
      </w:r>
    </w:p>
    <w:p w14:paraId="1FB077DB">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fldChar w:fldCharType="begin"/>
      </w:r>
      <w:r>
        <w:rPr>
          <w:rFonts w:hint="eastAsia" w:ascii="宋体" w:hAnsi="宋体" w:eastAsia="宋体"/>
          <w:color w:val="auto"/>
          <w:sz w:val="21"/>
          <w:szCs w:val="21"/>
          <w:highlight w:val="none"/>
          <w:lang w:val="en-US" w:eastAsia="zh-CN"/>
        </w:rPr>
        <w:instrText xml:space="preserve"> = 1 \* GB2 \* MERGEFORMAT </w:instrText>
      </w:r>
      <w:r>
        <w:rPr>
          <w:rFonts w:hint="eastAsia" w:ascii="宋体" w:hAnsi="宋体" w:eastAsia="宋体"/>
          <w:color w:val="auto"/>
          <w:sz w:val="21"/>
          <w:szCs w:val="21"/>
          <w:highlight w:val="none"/>
          <w:lang w:val="en-US" w:eastAsia="zh-CN"/>
        </w:rPr>
        <w:fldChar w:fldCharType="separate"/>
      </w:r>
      <w:r>
        <w:rPr>
          <w:rFonts w:hint="eastAsia" w:ascii="宋体" w:hAnsi="宋体" w:eastAsia="宋体"/>
          <w:color w:val="auto"/>
          <w:sz w:val="21"/>
          <w:szCs w:val="21"/>
          <w:highlight w:val="none"/>
          <w:lang w:val="en-US" w:eastAsia="zh-CN"/>
        </w:rPr>
        <w:t>⑴</w:t>
      </w:r>
      <w:r>
        <w:rPr>
          <w:rFonts w:hint="eastAsia" w:ascii="宋体" w:hAnsi="宋体" w:eastAsia="宋体"/>
          <w:color w:val="auto"/>
          <w:sz w:val="21"/>
          <w:szCs w:val="21"/>
          <w:highlight w:val="none"/>
          <w:lang w:val="en-US" w:eastAsia="zh-CN"/>
        </w:rPr>
        <w:fldChar w:fldCharType="end"/>
      </w:r>
      <w:r>
        <w:rPr>
          <w:rFonts w:hint="eastAsia" w:ascii="宋体" w:hAnsi="宋体"/>
          <w:color w:val="auto"/>
          <w:sz w:val="21"/>
          <w:szCs w:val="21"/>
          <w:highlight w:val="none"/>
          <w:lang w:val="en-US" w:eastAsia="zh-CN"/>
        </w:rPr>
        <w:t>投标人符合国家有关法律规定，在中国境内（指关境内）注册的</w:t>
      </w:r>
      <w:r>
        <w:rPr>
          <w:rFonts w:hint="eastAsia" w:ascii="宋体" w:hAnsi="宋体" w:eastAsia="宋体"/>
          <w:color w:val="auto"/>
          <w:sz w:val="21"/>
          <w:szCs w:val="21"/>
          <w:highlight w:val="none"/>
          <w:lang w:val="en-US" w:eastAsia="zh-CN"/>
        </w:rPr>
        <w:t>法人或者其他组织的营业执照等证明文件</w:t>
      </w:r>
      <w:r>
        <w:rPr>
          <w:rFonts w:hint="eastAsia" w:ascii="宋体" w:hAnsi="宋体"/>
          <w:color w:val="auto"/>
          <w:sz w:val="21"/>
          <w:szCs w:val="21"/>
          <w:highlight w:val="none"/>
          <w:lang w:val="en-US" w:eastAsia="zh-CN"/>
        </w:rPr>
        <w:t>；</w:t>
      </w:r>
    </w:p>
    <w:p w14:paraId="795C6080">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fldChar w:fldCharType="begin"/>
      </w:r>
      <w:r>
        <w:rPr>
          <w:rFonts w:hint="eastAsia" w:ascii="宋体" w:hAnsi="宋体" w:eastAsia="宋体"/>
          <w:color w:val="auto"/>
          <w:sz w:val="21"/>
          <w:szCs w:val="21"/>
          <w:highlight w:val="none"/>
          <w:lang w:val="en-US" w:eastAsia="zh-CN"/>
        </w:rPr>
        <w:instrText xml:space="preserve"> = 2 \* GB2 \* MERGEFORMAT </w:instrText>
      </w:r>
      <w:r>
        <w:rPr>
          <w:rFonts w:hint="eastAsia" w:ascii="宋体" w:hAnsi="宋体" w:eastAsia="宋体"/>
          <w:color w:val="auto"/>
          <w:sz w:val="21"/>
          <w:szCs w:val="21"/>
          <w:highlight w:val="none"/>
          <w:lang w:val="en-US" w:eastAsia="zh-CN"/>
        </w:rPr>
        <w:fldChar w:fldCharType="separate"/>
      </w:r>
      <w:r>
        <w:rPr>
          <w:rFonts w:hint="eastAsia" w:ascii="宋体" w:hAnsi="宋体" w:eastAsia="宋体"/>
          <w:color w:val="auto"/>
          <w:sz w:val="21"/>
          <w:szCs w:val="21"/>
          <w:highlight w:val="none"/>
          <w:lang w:val="en-US" w:eastAsia="zh-CN"/>
        </w:rPr>
        <w:t>⑵</w:t>
      </w:r>
      <w:r>
        <w:rPr>
          <w:rFonts w:hint="eastAsia" w:ascii="宋体" w:hAnsi="宋体" w:eastAsia="宋体"/>
          <w:color w:val="auto"/>
          <w:sz w:val="21"/>
          <w:szCs w:val="21"/>
          <w:highlight w:val="none"/>
          <w:lang w:val="en-US" w:eastAsia="zh-CN"/>
        </w:rPr>
        <w:fldChar w:fldCharType="end"/>
      </w:r>
      <w:r>
        <w:rPr>
          <w:rFonts w:hint="eastAsia" w:ascii="宋体" w:hAnsi="宋体" w:eastAsia="宋体"/>
          <w:color w:val="auto"/>
          <w:sz w:val="21"/>
          <w:szCs w:val="21"/>
          <w:highlight w:val="none"/>
          <w:lang w:val="en-US" w:eastAsia="zh-CN"/>
        </w:rPr>
        <w:t>投标人的财务状况报告:提供经会计师事务所审计的2024年度的财务报告（包括资产负债表、利润表、现金流量表、所有者权益变动表（若有）及其附注（若有）、会计师事务所营业执照和注册会计师资格证书）或银行出具的资信证明文件等）；</w:t>
      </w:r>
    </w:p>
    <w:p w14:paraId="4AE61E7E">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fldChar w:fldCharType="begin"/>
      </w:r>
      <w:r>
        <w:rPr>
          <w:rFonts w:hint="eastAsia" w:ascii="宋体" w:hAnsi="宋体" w:eastAsia="宋体"/>
          <w:color w:val="auto"/>
          <w:sz w:val="21"/>
          <w:szCs w:val="21"/>
          <w:highlight w:val="none"/>
          <w:lang w:val="en-US" w:eastAsia="zh-CN"/>
        </w:rPr>
        <w:instrText xml:space="preserve"> = 3 \* GB2 \* MERGEFORMAT </w:instrText>
      </w:r>
      <w:r>
        <w:rPr>
          <w:rFonts w:hint="eastAsia" w:ascii="宋体" w:hAnsi="宋体" w:eastAsia="宋体"/>
          <w:color w:val="auto"/>
          <w:sz w:val="21"/>
          <w:szCs w:val="21"/>
          <w:highlight w:val="none"/>
          <w:lang w:val="en-US" w:eastAsia="zh-CN"/>
        </w:rPr>
        <w:fldChar w:fldCharType="separate"/>
      </w:r>
      <w:r>
        <w:rPr>
          <w:rFonts w:hint="eastAsia" w:ascii="宋体" w:hAnsi="宋体" w:eastAsia="宋体"/>
          <w:color w:val="auto"/>
          <w:sz w:val="21"/>
          <w:szCs w:val="21"/>
          <w:highlight w:val="none"/>
          <w:lang w:val="en-US" w:eastAsia="zh-CN"/>
        </w:rPr>
        <w:t>⑶</w:t>
      </w:r>
      <w:r>
        <w:rPr>
          <w:rFonts w:hint="eastAsia" w:ascii="宋体" w:hAnsi="宋体" w:eastAsia="宋体"/>
          <w:color w:val="auto"/>
          <w:sz w:val="21"/>
          <w:szCs w:val="21"/>
          <w:highlight w:val="none"/>
          <w:lang w:val="en-US" w:eastAsia="zh-CN"/>
        </w:rPr>
        <w:fldChar w:fldCharType="end"/>
      </w:r>
      <w:r>
        <w:rPr>
          <w:rFonts w:hint="eastAsia" w:ascii="宋体" w:hAnsi="宋体" w:eastAsia="宋体"/>
          <w:color w:val="auto"/>
          <w:sz w:val="21"/>
          <w:szCs w:val="21"/>
          <w:highlight w:val="none"/>
          <w:lang w:val="en-US" w:eastAsia="zh-CN"/>
        </w:rPr>
        <w:t>投标人依法缴纳税收：投标截止时间前（不含投标截止时间的当月）已依法缴纳税收的投标人，提供投标截止时间前六个月（不含投标截止时间的当月）中任一月份的税收缴纳凭据复印件</w:t>
      </w:r>
      <w:bookmarkStart w:id="1" w:name="OLE_LINK2"/>
      <w:r>
        <w:rPr>
          <w:rFonts w:hint="eastAsia" w:ascii="宋体" w:hAnsi="宋体" w:cs="宋体"/>
        </w:rPr>
        <w:t>（若为投标截止当月成立的投标人，无法提供依法缴纳税收的相关材料的，视为满足该条件）</w:t>
      </w:r>
      <w:bookmarkEnd w:id="1"/>
      <w:r>
        <w:rPr>
          <w:rFonts w:hint="eastAsia" w:ascii="宋体" w:hAnsi="宋体" w:eastAsia="宋体"/>
          <w:color w:val="auto"/>
          <w:sz w:val="21"/>
          <w:szCs w:val="21"/>
          <w:highlight w:val="none"/>
          <w:lang w:val="en-US" w:eastAsia="zh-CN"/>
        </w:rPr>
        <w:t>；</w:t>
      </w:r>
    </w:p>
    <w:p w14:paraId="255A23A8">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fldChar w:fldCharType="begin"/>
      </w:r>
      <w:r>
        <w:rPr>
          <w:rFonts w:hint="eastAsia" w:ascii="宋体" w:hAnsi="宋体" w:eastAsia="宋体"/>
          <w:color w:val="auto"/>
          <w:sz w:val="21"/>
          <w:szCs w:val="21"/>
          <w:highlight w:val="none"/>
          <w:lang w:val="en-US" w:eastAsia="zh-CN"/>
        </w:rPr>
        <w:instrText xml:space="preserve"> = 4 \* GB2 \* MERGEFORMAT </w:instrText>
      </w:r>
      <w:r>
        <w:rPr>
          <w:rFonts w:hint="eastAsia" w:ascii="宋体" w:hAnsi="宋体" w:eastAsia="宋体"/>
          <w:color w:val="auto"/>
          <w:sz w:val="21"/>
          <w:szCs w:val="21"/>
          <w:highlight w:val="none"/>
          <w:lang w:val="en-US" w:eastAsia="zh-CN"/>
        </w:rPr>
        <w:fldChar w:fldCharType="separate"/>
      </w:r>
      <w:r>
        <w:rPr>
          <w:rFonts w:hint="eastAsia" w:ascii="宋体" w:hAnsi="宋体" w:eastAsia="宋体"/>
          <w:color w:val="auto"/>
          <w:sz w:val="21"/>
          <w:szCs w:val="21"/>
          <w:highlight w:val="none"/>
          <w:lang w:val="en-US" w:eastAsia="zh-CN"/>
        </w:rPr>
        <w:t>⑷</w:t>
      </w:r>
      <w:r>
        <w:rPr>
          <w:rFonts w:hint="eastAsia" w:ascii="宋体" w:hAnsi="宋体" w:eastAsia="宋体"/>
          <w:color w:val="auto"/>
          <w:sz w:val="21"/>
          <w:szCs w:val="21"/>
          <w:highlight w:val="none"/>
          <w:lang w:val="en-US" w:eastAsia="zh-CN"/>
        </w:rPr>
        <w:fldChar w:fldCharType="end"/>
      </w:r>
      <w:r>
        <w:rPr>
          <w:rFonts w:hint="eastAsia" w:ascii="宋体" w:hAnsi="宋体" w:eastAsia="宋体"/>
          <w:color w:val="auto"/>
          <w:sz w:val="21"/>
          <w:szCs w:val="21"/>
          <w:highlight w:val="none"/>
          <w:lang w:val="en-US" w:eastAsia="zh-CN"/>
        </w:rPr>
        <w:t>投标人依法缴纳社会保障资金：投标截止时间前（不含投标截止时间的当月）已依法缴纳社会保障资金的投标人，提供投标截止时间前六个月（不含投标截止时间的当月）中任一月份的社会保障资金缴纳凭据复印件</w:t>
      </w:r>
      <w:r>
        <w:rPr>
          <w:rFonts w:hint="eastAsia" w:ascii="宋体" w:hAnsi="宋体" w:cs="宋体"/>
        </w:rPr>
        <w:t>（若为投标截止当月成立的投标人，无法提供缴纳社会保障资金的相关材料的，视为满足该条件）</w:t>
      </w:r>
      <w:r>
        <w:rPr>
          <w:rFonts w:hint="eastAsia" w:ascii="宋体" w:hAnsi="宋体" w:eastAsia="宋体"/>
          <w:color w:val="auto"/>
          <w:sz w:val="21"/>
          <w:szCs w:val="21"/>
          <w:highlight w:val="none"/>
          <w:lang w:val="en-US" w:eastAsia="zh-CN"/>
        </w:rPr>
        <w:t>；</w:t>
      </w:r>
    </w:p>
    <w:p w14:paraId="7DD60B54">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fldChar w:fldCharType="begin"/>
      </w:r>
      <w:r>
        <w:rPr>
          <w:rFonts w:hint="eastAsia" w:ascii="宋体" w:hAnsi="宋体" w:eastAsia="宋体"/>
          <w:color w:val="auto"/>
          <w:sz w:val="21"/>
          <w:szCs w:val="21"/>
          <w:highlight w:val="none"/>
          <w:lang w:val="en-US" w:eastAsia="zh-CN"/>
        </w:rPr>
        <w:instrText xml:space="preserve"> = 5 \* GB2 \* MERGEFORMAT </w:instrText>
      </w:r>
      <w:r>
        <w:rPr>
          <w:rFonts w:hint="eastAsia" w:ascii="宋体" w:hAnsi="宋体" w:eastAsia="宋体"/>
          <w:color w:val="auto"/>
          <w:sz w:val="21"/>
          <w:szCs w:val="21"/>
          <w:highlight w:val="none"/>
          <w:lang w:val="en-US" w:eastAsia="zh-CN"/>
        </w:rPr>
        <w:fldChar w:fldCharType="separate"/>
      </w:r>
      <w:r>
        <w:rPr>
          <w:rFonts w:hint="eastAsia" w:ascii="宋体" w:hAnsi="宋体" w:eastAsia="宋体"/>
          <w:color w:val="auto"/>
          <w:sz w:val="21"/>
          <w:szCs w:val="21"/>
          <w:highlight w:val="none"/>
          <w:lang w:val="en-US" w:eastAsia="zh-CN"/>
        </w:rPr>
        <w:t>⑸</w:t>
      </w:r>
      <w:r>
        <w:rPr>
          <w:rFonts w:hint="eastAsia" w:ascii="宋体" w:hAnsi="宋体" w:eastAsia="宋体"/>
          <w:color w:val="auto"/>
          <w:sz w:val="21"/>
          <w:szCs w:val="21"/>
          <w:highlight w:val="none"/>
          <w:lang w:val="en-US" w:eastAsia="zh-CN"/>
        </w:rPr>
        <w:fldChar w:fldCharType="end"/>
      </w:r>
      <w:r>
        <w:rPr>
          <w:rFonts w:hint="eastAsia" w:ascii="宋体" w:hAnsi="宋体" w:eastAsia="宋体"/>
          <w:color w:val="auto"/>
          <w:sz w:val="21"/>
          <w:szCs w:val="21"/>
          <w:highlight w:val="none"/>
          <w:lang w:val="en-US" w:eastAsia="zh-CN"/>
        </w:rPr>
        <w:t>具备履行合同所必需的设备和专业技术能力的书面声明；</w:t>
      </w:r>
    </w:p>
    <w:p w14:paraId="2FED5C0C">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fldChar w:fldCharType="begin"/>
      </w:r>
      <w:r>
        <w:rPr>
          <w:rFonts w:hint="eastAsia" w:ascii="宋体" w:hAnsi="宋体" w:eastAsia="宋体"/>
          <w:color w:val="auto"/>
          <w:sz w:val="21"/>
          <w:szCs w:val="21"/>
          <w:highlight w:val="none"/>
          <w:lang w:val="en-US" w:eastAsia="zh-CN"/>
        </w:rPr>
        <w:instrText xml:space="preserve"> = 6 \* GB2 \* MERGEFORMAT </w:instrText>
      </w:r>
      <w:r>
        <w:rPr>
          <w:rFonts w:hint="eastAsia" w:ascii="宋体" w:hAnsi="宋体" w:eastAsia="宋体"/>
          <w:color w:val="auto"/>
          <w:sz w:val="21"/>
          <w:szCs w:val="21"/>
          <w:highlight w:val="none"/>
          <w:lang w:val="en-US" w:eastAsia="zh-CN"/>
        </w:rPr>
        <w:fldChar w:fldCharType="separate"/>
      </w:r>
      <w:r>
        <w:rPr>
          <w:rFonts w:hint="eastAsia" w:ascii="宋体" w:hAnsi="宋体" w:eastAsia="宋体"/>
          <w:color w:val="auto"/>
          <w:sz w:val="21"/>
          <w:szCs w:val="21"/>
          <w:highlight w:val="none"/>
          <w:lang w:val="en-US" w:eastAsia="zh-CN"/>
        </w:rPr>
        <w:t>⑹</w:t>
      </w:r>
      <w:r>
        <w:rPr>
          <w:rFonts w:hint="eastAsia" w:ascii="宋体" w:hAnsi="宋体" w:eastAsia="宋体"/>
          <w:color w:val="auto"/>
          <w:sz w:val="21"/>
          <w:szCs w:val="21"/>
          <w:highlight w:val="none"/>
          <w:lang w:val="en-US" w:eastAsia="zh-CN"/>
        </w:rPr>
        <w:fldChar w:fldCharType="end"/>
      </w:r>
      <w:r>
        <w:rPr>
          <w:rFonts w:hint="eastAsia" w:ascii="宋体" w:hAnsi="宋体" w:eastAsia="宋体"/>
          <w:color w:val="auto"/>
          <w:sz w:val="21"/>
          <w:szCs w:val="21"/>
          <w:highlight w:val="none"/>
          <w:lang w:val="en-US" w:eastAsia="zh-CN"/>
        </w:rPr>
        <w:t>参加政府采购活动前3年内在经营活动中没有重大违法记录的书面声明。</w:t>
      </w:r>
    </w:p>
    <w:p w14:paraId="17FC3FBE">
      <w:pPr>
        <w:pStyle w:val="2"/>
      </w:pPr>
      <w:r>
        <w:rPr>
          <w:rFonts w:hint="eastAsia" w:ascii="宋体" w:hAnsi="宋体" w:eastAsia="宋体"/>
          <w:b/>
          <w:bCs/>
          <w:color w:val="auto"/>
          <w:sz w:val="21"/>
          <w:szCs w:val="21"/>
          <w:highlight w:val="none"/>
          <w:lang w:val="en-US" w:eastAsia="zh-CN"/>
        </w:rPr>
        <w:t>注：若为依法免税或不需要缴纳社会保障资金的投标人，应提供相应文件证明其依法免税或不需要缴纳社会保障资金</w:t>
      </w:r>
    </w:p>
    <w:p w14:paraId="693B9139">
      <w:pPr>
        <w:spacing w:line="360" w:lineRule="auto"/>
        <w:rPr>
          <w:rFonts w:hint="eastAsia" w:ascii="宋体" w:hAnsi="宋体" w:eastAsia="宋体" w:cs="Times New Roman"/>
          <w:color w:val="auto"/>
          <w:sz w:val="21"/>
          <w:szCs w:val="21"/>
          <w:highlight w:val="none"/>
          <w:lang w:val="en-US" w:eastAsia="zh-CN"/>
        </w:rPr>
      </w:pPr>
      <w:r>
        <w:rPr>
          <w:rFonts w:ascii="宋体" w:hAnsi="宋体" w:eastAsia="宋体"/>
          <w:color w:val="auto"/>
          <w:sz w:val="21"/>
          <w:szCs w:val="21"/>
          <w:highlight w:val="none"/>
        </w:rPr>
        <w:t>2</w:t>
      </w:r>
      <w:r>
        <w:rPr>
          <w:rFonts w:hint="eastAsia" w:ascii="宋体" w:hAnsi="宋体" w:eastAsia="宋体"/>
          <w:color w:val="auto"/>
          <w:sz w:val="21"/>
          <w:szCs w:val="21"/>
          <w:highlight w:val="none"/>
        </w:rPr>
        <w:t>.落实政府采购政策需满足的资格要求：</w:t>
      </w:r>
      <w:r>
        <w:rPr>
          <w:rFonts w:hint="eastAsia" w:ascii="宋体" w:hAnsi="宋体" w:eastAsia="宋体" w:cs="Times New Roman"/>
          <w:b/>
          <w:bCs/>
          <w:color w:val="auto"/>
          <w:sz w:val="21"/>
          <w:szCs w:val="21"/>
          <w:highlight w:val="none"/>
          <w:lang w:val="en-US" w:eastAsia="zh-CN"/>
        </w:rPr>
        <w:t>①本项目合同包1、合同包2、合同包3均</w:t>
      </w:r>
      <w:r>
        <w:rPr>
          <w:rFonts w:hint="eastAsia" w:ascii="宋体" w:hAnsi="宋体" w:eastAsia="宋体" w:cs="Times New Roman"/>
          <w:b w:val="0"/>
          <w:bCs w:val="0"/>
          <w:color w:val="auto"/>
          <w:sz w:val="21"/>
          <w:szCs w:val="21"/>
          <w:highlight w:val="none"/>
          <w:lang w:val="en-US" w:eastAsia="zh-CN"/>
        </w:rPr>
        <w:t>专门面向</w:t>
      </w:r>
      <w:r>
        <w:rPr>
          <w:rFonts w:hint="eastAsia" w:ascii="宋体" w:hAnsi="宋体" w:eastAsia="宋体" w:cs="Times New Roman"/>
          <w:color w:val="auto"/>
          <w:sz w:val="21"/>
          <w:szCs w:val="21"/>
          <w:highlight w:val="none"/>
          <w:lang w:val="en-US" w:eastAsia="zh-CN"/>
        </w:rPr>
        <w:t>符合财政部、工信部文件（财库〔2020〕46号）规定的中、小、微企业，投标人须提供《中小企业声明函》（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注：享受扶持政策获得政府采购合同的，小微企业不得将合同分包给大中型企业，中型企业不得将合同分包给大型企业。采购标的对应的中小企业划分标准所属行业详见“批发业”。</w:t>
      </w:r>
    </w:p>
    <w:p w14:paraId="1FB239B3">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3.本项目的特定资格要求：</w:t>
      </w:r>
      <w:r>
        <w:rPr>
          <w:rFonts w:hint="eastAsia" w:ascii="宋体" w:hAnsi="宋体" w:eastAsia="宋体"/>
          <w:color w:val="auto"/>
          <w:sz w:val="21"/>
          <w:szCs w:val="21"/>
          <w:highlight w:val="none"/>
          <w:lang w:val="en-US" w:eastAsia="zh-CN"/>
        </w:rPr>
        <w:t>投标人具有食品经营许可证（须提供该证件的复印件并加盖单位公章，证件须在有效期内）。如因国家政策调整，国家有关行政部门有颁发新的食品方面许可证书的，应从其规定。</w:t>
      </w:r>
    </w:p>
    <w:p w14:paraId="3C3C7681">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hint="eastAsia"/>
          <w:lang w:val="en-US" w:eastAsia="zh-CN"/>
        </w:rPr>
      </w:pPr>
      <w:r>
        <w:rPr>
          <w:rFonts w:hint="eastAsia" w:ascii="宋体" w:hAnsi="宋体"/>
          <w:color w:val="auto"/>
          <w:sz w:val="21"/>
          <w:szCs w:val="21"/>
          <w:highlight w:val="none"/>
          <w:lang w:val="en-US" w:eastAsia="zh-CN"/>
        </w:rPr>
        <w:t>4</w:t>
      </w:r>
      <w:r>
        <w:rPr>
          <w:rFonts w:hint="eastAsia" w:ascii="宋体" w:hAnsi="宋体" w:eastAsia="宋体"/>
          <w:color w:val="auto"/>
          <w:sz w:val="21"/>
          <w:szCs w:val="21"/>
          <w:highlight w:val="none"/>
          <w:lang w:val="en-US" w:eastAsia="zh-CN"/>
        </w:rPr>
        <w:t>.被列入失信被执行人、重大税收违法案件当事人名单、政府采购严重违法失信行为记录名单及其他不符合《中华人民共和国政府采购法》第二十二条规定条件的投标人，不得参加本次投标。（1）投标人针对“信用记录查询结果”可自主提供证明材料，未提供该证明材料的不视为无效投标。（2）查询结果的审查：①信用记录查询的截止时点：信用记录查询的截止时点为本项目投标截止当日。②信用记录查询渠道：信用中国（www.creditchina.gov.cn）和中国政府采购网（www.ccgp.gov.cn）。③信用记录的查询：由资格审查小组通过上述网站查询并打印投标人的信用记录。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⑤因上述网站原因导致资格审查小组无法查询投标人信用记录的（资格审查小组应将通过上述网站查询投标人信用记录时的原始页面打印后随采购文件一并存档），视为查询结果未存在投标人应被拒绝参与政府采购活动相关的信息。</w:t>
      </w:r>
    </w:p>
    <w:p w14:paraId="0285E1B2">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三、获取招标文件</w:t>
      </w:r>
    </w:p>
    <w:p w14:paraId="12585A5B">
      <w:pPr>
        <w:keepNext w:val="0"/>
        <w:keepLines w:val="0"/>
        <w:pageBreakBefore w:val="0"/>
        <w:kinsoku/>
        <w:wordWrap/>
        <w:overflowPunct/>
        <w:topLinePunct w:val="0"/>
        <w:autoSpaceDE/>
        <w:autoSpaceDN/>
        <w:bidi w:val="0"/>
        <w:adjustRightInd/>
        <w:snapToGrid/>
        <w:spacing w:after="0" w:line="360" w:lineRule="auto"/>
        <w:ind w:firstLine="54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06</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val="en-US" w:eastAsia="zh-CN"/>
        </w:rPr>
        <w:t>05</w:t>
      </w:r>
      <w:r>
        <w:rPr>
          <w:rFonts w:hint="eastAsia" w:ascii="宋体" w:hAnsi="宋体" w:eastAsia="宋体" w:cs="宋体"/>
          <w:color w:val="auto"/>
          <w:sz w:val="21"/>
          <w:szCs w:val="21"/>
          <w:highlight w:val="none"/>
          <w:u w:val="none"/>
        </w:rPr>
        <w:t>月</w:t>
      </w:r>
      <w:r>
        <w:rPr>
          <w:rFonts w:hint="eastAsia" w:ascii="宋体" w:hAnsi="宋体" w:cs="宋体"/>
          <w:color w:val="auto"/>
          <w:sz w:val="21"/>
          <w:szCs w:val="21"/>
          <w:highlight w:val="none"/>
          <w:u w:val="none"/>
          <w:lang w:val="en-US" w:eastAsia="zh-CN"/>
        </w:rPr>
        <w:t>13</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rPr>
        <w:t>，每天上午</w:t>
      </w:r>
      <w:r>
        <w:rPr>
          <w:rFonts w:hint="eastAsia" w:ascii="宋体" w:hAnsi="宋体" w:cs="宋体"/>
          <w:color w:val="auto"/>
          <w:sz w:val="21"/>
          <w:szCs w:val="21"/>
          <w:highlight w:val="none"/>
          <w:u w:val="single"/>
          <w:lang w:val="en-US" w:eastAsia="zh-CN"/>
        </w:rPr>
        <w:t>8:30</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val="en-US" w:eastAsia="zh-CN"/>
        </w:rPr>
        <w:t>12：00</w:t>
      </w:r>
      <w:r>
        <w:rPr>
          <w:rFonts w:hint="eastAsia" w:ascii="宋体" w:hAnsi="宋体" w:eastAsia="宋体" w:cs="宋体"/>
          <w:color w:val="auto"/>
          <w:sz w:val="21"/>
          <w:szCs w:val="21"/>
          <w:highlight w:val="none"/>
        </w:rPr>
        <w:t>，下午</w:t>
      </w:r>
      <w:r>
        <w:rPr>
          <w:rFonts w:hint="eastAsia" w:ascii="宋体" w:hAnsi="宋体" w:cs="宋体"/>
          <w:color w:val="auto"/>
          <w:sz w:val="21"/>
          <w:szCs w:val="21"/>
          <w:highlight w:val="none"/>
          <w:u w:val="single"/>
          <w:lang w:val="en-US" w:eastAsia="zh-CN"/>
        </w:rPr>
        <w:t>14:30</w:t>
      </w:r>
      <w:r>
        <w:rPr>
          <w:rFonts w:hint="eastAsia" w:ascii="宋体" w:hAnsi="宋体" w:eastAsia="宋体" w:cs="宋体"/>
          <w:color w:val="auto"/>
          <w:sz w:val="21"/>
          <w:szCs w:val="21"/>
          <w:highlight w:val="none"/>
        </w:rPr>
        <w:t>至</w:t>
      </w:r>
      <w:r>
        <w:rPr>
          <w:rFonts w:hint="eastAsia" w:ascii="宋体" w:hAnsi="宋体" w:cs="宋体"/>
          <w:color w:val="auto"/>
          <w:sz w:val="21"/>
          <w:szCs w:val="21"/>
          <w:highlight w:val="none"/>
          <w:u w:val="single"/>
          <w:lang w:val="en-US" w:eastAsia="zh-CN"/>
        </w:rPr>
        <w:t>17:30</w:t>
      </w:r>
      <w:r>
        <w:rPr>
          <w:rFonts w:hint="eastAsia" w:ascii="宋体" w:hAnsi="宋体" w:eastAsia="宋体" w:cs="宋体"/>
          <w:color w:val="auto"/>
          <w:sz w:val="21"/>
          <w:szCs w:val="21"/>
          <w:highlight w:val="none"/>
        </w:rPr>
        <w:t>（北京时间，</w:t>
      </w:r>
      <w:r>
        <w:rPr>
          <w:rFonts w:ascii="宋体" w:hAnsi="宋体" w:eastAsia="宋体" w:cs="宋体"/>
          <w:color w:val="auto"/>
          <w:sz w:val="21"/>
          <w:szCs w:val="21"/>
          <w:highlight w:val="none"/>
        </w:rPr>
        <w:t>法定节假日</w:t>
      </w:r>
      <w:r>
        <w:rPr>
          <w:rFonts w:hint="eastAsia" w:ascii="宋体" w:hAnsi="宋体" w:eastAsia="宋体" w:cs="宋体"/>
          <w:color w:val="auto"/>
          <w:sz w:val="21"/>
          <w:szCs w:val="21"/>
          <w:highlight w:val="none"/>
        </w:rPr>
        <w:t>除外）</w:t>
      </w:r>
    </w:p>
    <w:p w14:paraId="38EACF13">
      <w:pPr>
        <w:keepNext w:val="0"/>
        <w:keepLines w:val="0"/>
        <w:pageBreakBefore w:val="0"/>
        <w:kinsoku/>
        <w:wordWrap/>
        <w:overflowPunct/>
        <w:topLinePunct w:val="0"/>
        <w:autoSpaceDE/>
        <w:autoSpaceDN/>
        <w:bidi w:val="0"/>
        <w:adjustRightInd/>
        <w:snapToGrid/>
        <w:spacing w:after="0"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福建省三明市三元区新市南路178号四层</w:t>
      </w:r>
    </w:p>
    <w:p w14:paraId="65D845B6">
      <w:pPr>
        <w:keepNext w:val="0"/>
        <w:keepLines w:val="0"/>
        <w:pageBreakBefore w:val="0"/>
        <w:kinsoku/>
        <w:wordWrap/>
        <w:overflowPunct/>
        <w:topLinePunct w:val="0"/>
        <w:autoSpaceDE/>
        <w:autoSpaceDN/>
        <w:bidi w:val="0"/>
        <w:adjustRightInd/>
        <w:snapToGrid/>
        <w:spacing w:after="0" w:line="360" w:lineRule="auto"/>
        <w:ind w:firstLine="54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方式：（1）直接至我</w:t>
      </w:r>
      <w:r>
        <w:rPr>
          <w:rFonts w:hint="eastAsia" w:ascii="宋体" w:hAnsi="宋体" w:eastAsia="宋体" w:cs="宋体"/>
          <w:color w:val="auto"/>
          <w:sz w:val="21"/>
          <w:szCs w:val="21"/>
          <w:highlight w:val="none"/>
          <w:lang w:val="en-US" w:eastAsia="zh-CN"/>
        </w:rPr>
        <w:t>司</w:t>
      </w:r>
      <w:r>
        <w:rPr>
          <w:rFonts w:hint="eastAsia" w:ascii="宋体" w:hAnsi="宋体" w:eastAsia="宋体" w:cs="宋体"/>
          <w:color w:val="auto"/>
          <w:sz w:val="21"/>
          <w:szCs w:val="21"/>
          <w:highlight w:val="none"/>
        </w:rPr>
        <w:t>办理：请填写报名表。（2）通过邮件办理：请将报名供应商相关信息（公司名称、联系人、公司电话、手机、传真、电子邮箱、公司地址、参与投标的项目名称及招标文件编号）填写清楚加盖公章发邮件至邮箱：fjsxzbsm@163.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）未办理获取招标文件手续的不予以书面变更通知及不受理投标文件。</w:t>
      </w:r>
    </w:p>
    <w:p w14:paraId="1DED8472">
      <w:pPr>
        <w:keepNext w:val="0"/>
        <w:keepLines w:val="0"/>
        <w:pageBreakBefore w:val="0"/>
        <w:kinsoku/>
        <w:wordWrap/>
        <w:overflowPunct/>
        <w:topLinePunct w:val="0"/>
        <w:autoSpaceDE/>
        <w:autoSpaceDN/>
        <w:bidi w:val="0"/>
        <w:adjustRightInd/>
        <w:snapToGrid/>
        <w:spacing w:after="0" w:line="360" w:lineRule="auto"/>
        <w:ind w:firstLine="54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售价：</w:t>
      </w:r>
      <w:r>
        <w:rPr>
          <w:rFonts w:hint="eastAsia" w:ascii="宋体" w:hAnsi="宋体" w:cs="宋体"/>
          <w:color w:val="auto"/>
          <w:sz w:val="21"/>
          <w:szCs w:val="21"/>
          <w:highlight w:val="none"/>
          <w:lang w:val="en-US" w:eastAsia="zh-CN"/>
        </w:rPr>
        <w:t>0.00元</w:t>
      </w:r>
    </w:p>
    <w:p w14:paraId="30D0D60F">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四、提交投标文件截止时间、开标时间和地点</w:t>
      </w:r>
    </w:p>
    <w:p w14:paraId="52F944C4">
      <w:pPr>
        <w:keepNext w:val="0"/>
        <w:keepLines w:val="0"/>
        <w:pageBreakBefore w:val="0"/>
        <w:kinsoku/>
        <w:wordWrap/>
        <w:overflowPunct/>
        <w:topLinePunct w:val="0"/>
        <w:autoSpaceDE/>
        <w:autoSpaceDN/>
        <w:bidi w:val="0"/>
        <w:adjustRightInd/>
        <w:snapToGrid/>
        <w:spacing w:after="0"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时间：2025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点</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7A4602CD">
      <w:pPr>
        <w:keepNext w:val="0"/>
        <w:keepLines w:val="0"/>
        <w:pageBreakBefore w:val="0"/>
        <w:kinsoku/>
        <w:wordWrap/>
        <w:overflowPunct/>
        <w:topLinePunct w:val="0"/>
        <w:autoSpaceDE/>
        <w:autoSpaceDN/>
        <w:bidi w:val="0"/>
        <w:adjustRightInd/>
        <w:snapToGrid/>
        <w:spacing w:after="0" w:line="360" w:lineRule="auto"/>
        <w:ind w:firstLine="5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福建省三明市三元区新市南路178号四层</w:t>
      </w:r>
      <w:r>
        <w:rPr>
          <w:rFonts w:hint="eastAsia" w:ascii="宋体" w:hAnsi="宋体" w:eastAsia="宋体" w:cs="宋体"/>
          <w:color w:val="auto"/>
          <w:sz w:val="21"/>
          <w:szCs w:val="21"/>
          <w:highlight w:val="none"/>
        </w:rPr>
        <w:t>开标室</w:t>
      </w:r>
    </w:p>
    <w:p w14:paraId="01770AE0">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五、公告期限</w:t>
      </w:r>
    </w:p>
    <w:p w14:paraId="5A0A0D02">
      <w:pPr>
        <w:keepNext w:val="0"/>
        <w:keepLines w:val="0"/>
        <w:pageBreakBefore w:val="0"/>
        <w:kinsoku/>
        <w:wordWrap/>
        <w:overflowPunct/>
        <w:topLinePunct w:val="0"/>
        <w:autoSpaceDE/>
        <w:autoSpaceDN/>
        <w:bidi w:val="0"/>
        <w:adjustRightInd/>
        <w:snapToGrid/>
        <w:spacing w:after="0" w:line="360" w:lineRule="auto"/>
        <w:ind w:firstLine="420" w:firstLineChars="200"/>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自本公告发布之日起5个工作日。</w:t>
      </w:r>
    </w:p>
    <w:p w14:paraId="69964444">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六、其他补充事宜</w:t>
      </w:r>
    </w:p>
    <w:p w14:paraId="377A5510">
      <w:pPr>
        <w:keepNext w:val="0"/>
        <w:keepLines w:val="0"/>
        <w:pageBreakBefore w:val="0"/>
        <w:kinsoku/>
        <w:wordWrap/>
        <w:overflowPunct/>
        <w:topLinePunct w:val="0"/>
        <w:autoSpaceDE/>
        <w:autoSpaceDN/>
        <w:bidi w:val="0"/>
        <w:adjustRightInd/>
        <w:snapToGrid/>
        <w:spacing w:after="0" w:line="360" w:lineRule="auto"/>
        <w:ind w:left="495"/>
        <w:textAlignment w:val="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无</w:t>
      </w:r>
    </w:p>
    <w:p w14:paraId="107947F1">
      <w:pPr>
        <w:keepNext w:val="0"/>
        <w:keepLines w:val="0"/>
        <w:pageBreakBefore w:val="0"/>
        <w:kinsoku/>
        <w:wordWrap/>
        <w:overflowPunct/>
        <w:topLinePunct w:val="0"/>
        <w:autoSpaceDE/>
        <w:autoSpaceDN/>
        <w:bidi w:val="0"/>
        <w:adjustRightInd/>
        <w:snapToGrid/>
        <w:spacing w:beforeLines="50" w:afterLines="50" w:line="360" w:lineRule="auto"/>
        <w:textAlignment w:val="auto"/>
        <w:rPr>
          <w:rFonts w:ascii="黑体" w:hAnsi="黑体" w:eastAsia="黑体"/>
          <w:color w:val="auto"/>
          <w:sz w:val="21"/>
          <w:szCs w:val="21"/>
          <w:highlight w:val="none"/>
        </w:rPr>
      </w:pPr>
      <w:r>
        <w:rPr>
          <w:rFonts w:hint="eastAsia" w:ascii="黑体" w:hAnsi="黑体" w:eastAsia="黑体"/>
          <w:color w:val="auto"/>
          <w:sz w:val="21"/>
          <w:szCs w:val="21"/>
          <w:highlight w:val="none"/>
        </w:rPr>
        <w:t>七、对本次招标提出询问，请按</w:t>
      </w:r>
      <w:r>
        <w:rPr>
          <w:rFonts w:ascii="黑体" w:hAnsi="黑体" w:eastAsia="黑体"/>
          <w:color w:val="auto"/>
          <w:sz w:val="21"/>
          <w:szCs w:val="21"/>
          <w:highlight w:val="none"/>
        </w:rPr>
        <w:t>以下方式</w:t>
      </w:r>
      <w:r>
        <w:rPr>
          <w:rFonts w:hint="eastAsia" w:ascii="黑体" w:hAnsi="黑体" w:eastAsia="黑体"/>
          <w:color w:val="auto"/>
          <w:sz w:val="21"/>
          <w:szCs w:val="21"/>
          <w:highlight w:val="none"/>
        </w:rPr>
        <w:t>联系。</w:t>
      </w:r>
    </w:p>
    <w:p w14:paraId="312EF45D">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1.采购人信息</w:t>
      </w:r>
    </w:p>
    <w:p w14:paraId="26C4E5C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国家税务总局三明市三元区税务局</w:t>
      </w:r>
      <w:r>
        <w:rPr>
          <w:rFonts w:hint="eastAsia" w:ascii="宋体" w:hAnsi="宋体" w:eastAsia="宋体" w:cs="宋体"/>
          <w:color w:val="auto"/>
          <w:sz w:val="21"/>
          <w:szCs w:val="21"/>
          <w:highlight w:val="none"/>
        </w:rPr>
        <w:t>　　　　　</w:t>
      </w:r>
    </w:p>
    <w:p w14:paraId="0D6769F6">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地址：三明市三元区和仁新村43幢</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w:t>
      </w:r>
    </w:p>
    <w:p w14:paraId="1876B99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小罗 </w:t>
      </w:r>
    </w:p>
    <w:p w14:paraId="095D1547">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电话：0598- 8953186 </w:t>
      </w:r>
    </w:p>
    <w:p w14:paraId="583A9DDB">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ascii="宋体" w:hAnsi="宋体" w:eastAsia="宋体"/>
          <w:color w:val="auto"/>
          <w:sz w:val="21"/>
          <w:szCs w:val="21"/>
          <w:highlight w:val="none"/>
        </w:rPr>
      </w:pPr>
      <w:r>
        <w:rPr>
          <w:rFonts w:hint="eastAsia" w:ascii="宋体" w:hAnsi="宋体" w:eastAsia="宋体" w:cs="宋体"/>
          <w:color w:val="auto"/>
          <w:sz w:val="21"/>
          <w:szCs w:val="21"/>
          <w:highlight w:val="none"/>
        </w:rPr>
        <w:t>2.采购代理机构信息（如有）</w:t>
      </w:r>
    </w:p>
    <w:p w14:paraId="618FA5E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val="en-US" w:eastAsia="zh-CN"/>
        </w:rPr>
        <w:t>福建盛鑫招标代理有限公司</w:t>
      </w:r>
      <w:r>
        <w:rPr>
          <w:rFonts w:hint="eastAsia" w:ascii="宋体" w:hAnsi="宋体" w:eastAsia="宋体" w:cs="宋体"/>
          <w:color w:val="auto"/>
          <w:sz w:val="21"/>
          <w:szCs w:val="21"/>
          <w:highlight w:val="none"/>
        </w:rPr>
        <w:t>　　　　　　　　　　　　</w:t>
      </w:r>
    </w:p>
    <w:p w14:paraId="54259503">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福建省福州市鼓楼区鼓东街道湖东路79号福建外运大厦七层</w:t>
      </w:r>
      <w:r>
        <w:rPr>
          <w:rFonts w:hint="eastAsia" w:ascii="宋体" w:hAnsi="宋体" w:eastAsia="宋体" w:cs="宋体"/>
          <w:color w:val="auto"/>
          <w:sz w:val="21"/>
          <w:szCs w:val="21"/>
          <w:highlight w:val="none"/>
        </w:rPr>
        <w:t>　　　　　　　　　　　　</w:t>
      </w:r>
    </w:p>
    <w:p w14:paraId="1DDA3875">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val="en-US" w:eastAsia="zh-CN"/>
        </w:rPr>
        <w:t>0598-8319711</w:t>
      </w:r>
      <w:r>
        <w:rPr>
          <w:rFonts w:hint="eastAsia" w:ascii="宋体" w:hAnsi="宋体" w:eastAsia="宋体" w:cs="宋体"/>
          <w:color w:val="auto"/>
          <w:sz w:val="21"/>
          <w:szCs w:val="21"/>
          <w:highlight w:val="none"/>
        </w:rPr>
        <w:t>　　　　　　　　　　　　</w:t>
      </w:r>
    </w:p>
    <w:p w14:paraId="277B8A18">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44DD8424">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val="en-US" w:eastAsia="zh-CN"/>
        </w:rPr>
        <w:t xml:space="preserve">李莉、丘土炎、蓝斌 </w:t>
      </w:r>
    </w:p>
    <w:p w14:paraId="758FE7B2">
      <w:pPr>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 xml:space="preserve">0598-8319711 </w:t>
      </w:r>
    </w:p>
    <w:p w14:paraId="6774D2DA">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pPr>
    </w:p>
    <w:p w14:paraId="33207F36">
      <w:pPr>
        <w:keepNext w:val="0"/>
        <w:keepLines w:val="0"/>
        <w:pageBreakBefore w:val="0"/>
        <w:kinsoku/>
        <w:wordWrap/>
        <w:overflowPunct/>
        <w:topLinePunct w:val="0"/>
        <w:autoSpaceDE/>
        <w:autoSpaceDN/>
        <w:bidi w:val="0"/>
        <w:adjustRightInd/>
        <w:snapToGrid/>
        <w:spacing w:line="360" w:lineRule="auto"/>
        <w:textAlignment w:val="auto"/>
        <w:rPr>
          <w:color w:val="auto"/>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752BD75">
      <w:pPr>
        <w:bidi w:val="0"/>
        <w:jc w:val="center"/>
        <w:rPr>
          <w:rFonts w:hint="eastAsia" w:ascii="华文中宋" w:hAnsi="华文中宋" w:eastAsia="华文中宋" w:cs="华文中宋"/>
          <w:color w:val="auto"/>
          <w:sz w:val="28"/>
          <w:szCs w:val="28"/>
          <w:highlight w:val="none"/>
        </w:rPr>
      </w:pPr>
      <w:bookmarkStart w:id="2" w:name="_Toc132880272"/>
      <w:r>
        <w:rPr>
          <w:rFonts w:hint="eastAsia" w:ascii="华文中宋" w:hAnsi="华文中宋" w:eastAsia="华文中宋" w:cs="华文中宋"/>
          <w:color w:val="auto"/>
          <w:sz w:val="28"/>
          <w:szCs w:val="28"/>
          <w:highlight w:val="none"/>
        </w:rPr>
        <w:t>第二章　投标人须知</w:t>
      </w:r>
      <w:bookmarkEnd w:id="2"/>
    </w:p>
    <w:p w14:paraId="3C1C30FB">
      <w:pPr>
        <w:bidi w:val="0"/>
        <w:jc w:val="center"/>
        <w:rPr>
          <w:rFonts w:hint="eastAsia" w:ascii="方正小标宋简体" w:hAnsi="方正小标宋简体" w:eastAsia="方正小标宋简体" w:cs="方正小标宋简体"/>
          <w:color w:val="auto"/>
          <w:sz w:val="24"/>
          <w:szCs w:val="24"/>
          <w:highlight w:val="none"/>
        </w:rPr>
      </w:pPr>
      <w:bookmarkStart w:id="3" w:name="_Toc132880273"/>
      <w:r>
        <w:rPr>
          <w:rFonts w:hint="eastAsia" w:ascii="方正小标宋简体" w:hAnsi="方正小标宋简体" w:eastAsia="方正小标宋简体" w:cs="方正小标宋简体"/>
          <w:color w:val="auto"/>
          <w:sz w:val="24"/>
          <w:szCs w:val="24"/>
          <w:highlight w:val="none"/>
        </w:rPr>
        <w:t>投标人须知前附表</w:t>
      </w:r>
      <w:bookmarkEnd w:id="3"/>
    </w:p>
    <w:tbl>
      <w:tblPr>
        <w:tblStyle w:val="1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84"/>
        <w:gridCol w:w="851"/>
        <w:gridCol w:w="5207"/>
      </w:tblGrid>
      <w:tr w14:paraId="37EEB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1CBE8D7">
            <w:pPr>
              <w:adjustRightInd w:val="0"/>
              <w:snapToGrid w:val="0"/>
              <w:spacing w:after="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 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A1E8A5C">
            <w:pPr>
              <w:adjustRightInd w:val="0"/>
              <w:snapToGrid w:val="0"/>
              <w:spacing w:after="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类  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62FAEEF0">
            <w:pPr>
              <w:adjustRightInd w:val="0"/>
              <w:snapToGrid w:val="0"/>
              <w:spacing w:after="0"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内     容</w:t>
            </w:r>
          </w:p>
        </w:tc>
      </w:tr>
      <w:tr w14:paraId="4419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noWrap w:val="0"/>
            <w:vAlign w:val="center"/>
          </w:tcPr>
          <w:p w14:paraId="52B9958C">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984" w:type="dxa"/>
            <w:vMerge w:val="restart"/>
            <w:tcBorders>
              <w:top w:val="single" w:color="auto" w:sz="4" w:space="0"/>
              <w:left w:val="single" w:color="auto" w:sz="4" w:space="0"/>
              <w:right w:val="single" w:color="auto" w:sz="4" w:space="0"/>
            </w:tcBorders>
            <w:noWrap w:val="0"/>
            <w:vAlign w:val="center"/>
          </w:tcPr>
          <w:p w14:paraId="05F162F2">
            <w:pPr>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项目名称、编号、预算及最高限价</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16EBDC15">
            <w:pPr>
              <w:adjustRightInd w:val="0"/>
              <w:snapToGrid w:val="0"/>
              <w:spacing w:after="0" w:line="360" w:lineRule="auto"/>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项目名称：</w:t>
            </w:r>
            <w:r>
              <w:rPr>
                <w:rFonts w:hint="eastAsia" w:ascii="Times New Roman" w:hAnsi="Times New Roman" w:eastAsia="宋体" w:cs="Times New Roman"/>
                <w:color w:val="auto"/>
                <w:sz w:val="21"/>
                <w:szCs w:val="21"/>
                <w:highlight w:val="none"/>
                <w:lang w:eastAsia="zh-CN"/>
              </w:rPr>
              <w:t>国家税务总局三明市三元区税务局2025-2026年食堂食材配送服务项目</w:t>
            </w:r>
          </w:p>
        </w:tc>
      </w:tr>
      <w:tr w14:paraId="4911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14:paraId="05CA2C8C">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1984" w:type="dxa"/>
            <w:vMerge w:val="continue"/>
            <w:tcBorders>
              <w:left w:val="single" w:color="auto" w:sz="4" w:space="0"/>
              <w:right w:val="single" w:color="auto" w:sz="4" w:space="0"/>
            </w:tcBorders>
            <w:noWrap w:val="0"/>
            <w:vAlign w:val="center"/>
          </w:tcPr>
          <w:p w14:paraId="19DF093C">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5BA09FB4">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项目编号：</w:t>
            </w:r>
            <w:r>
              <w:rPr>
                <w:rFonts w:hint="default" w:ascii="Times New Roman" w:hAnsi="Times New Roman" w:eastAsia="宋体" w:cs="Times New Roman"/>
                <w:color w:val="auto"/>
                <w:sz w:val="21"/>
                <w:szCs w:val="21"/>
                <w:highlight w:val="none"/>
                <w:u w:val="single"/>
              </w:rPr>
              <w:t>FJ2025-DLGK-C0034-B03</w:t>
            </w:r>
          </w:p>
        </w:tc>
      </w:tr>
      <w:tr w14:paraId="6287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14:paraId="0D14A999">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1984" w:type="dxa"/>
            <w:vMerge w:val="continue"/>
            <w:tcBorders>
              <w:left w:val="single" w:color="auto" w:sz="4" w:space="0"/>
              <w:right w:val="single" w:color="auto" w:sz="4" w:space="0"/>
            </w:tcBorders>
            <w:noWrap w:val="0"/>
            <w:vAlign w:val="center"/>
          </w:tcPr>
          <w:p w14:paraId="194D7A07">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6A9A70A7">
            <w:pPr>
              <w:adjustRightInd w:val="0"/>
              <w:snapToGrid w:val="0"/>
              <w:spacing w:after="0"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项目预算：</w:t>
            </w:r>
            <w:r>
              <w:rPr>
                <w:rFonts w:hint="eastAsia" w:ascii="Times New Roman" w:hAnsi="Times New Roman" w:cs="Times New Roman"/>
                <w:color w:val="auto"/>
                <w:sz w:val="21"/>
                <w:szCs w:val="21"/>
                <w:highlight w:val="none"/>
                <w:lang w:val="en-US" w:eastAsia="zh-CN"/>
              </w:rPr>
              <w:t>合同包1：</w:t>
            </w:r>
            <w:r>
              <w:rPr>
                <w:rFonts w:hint="eastAsia" w:ascii="宋体" w:hAnsi="宋体" w:eastAsia="宋体" w:cs="Times New Roman"/>
                <w:color w:val="auto"/>
                <w:sz w:val="21"/>
                <w:szCs w:val="21"/>
                <w:highlight w:val="none"/>
                <w:u w:val="single"/>
                <w:lang w:val="en-US" w:eastAsia="zh-CN"/>
              </w:rPr>
              <w:t>45</w:t>
            </w:r>
            <w:r>
              <w:rPr>
                <w:rFonts w:hint="eastAsia" w:ascii="Times New Roman" w:hAnsi="Times New Roman" w:cs="Times New Roman"/>
                <w:color w:val="auto"/>
                <w:sz w:val="21"/>
                <w:szCs w:val="21"/>
                <w:highlight w:val="none"/>
                <w:u w:val="single"/>
                <w:lang w:val="en-US" w:eastAsia="zh-CN"/>
              </w:rPr>
              <w:t>万元</w:t>
            </w:r>
            <w:r>
              <w:rPr>
                <w:rFonts w:hint="eastAsia" w:ascii="Times New Roman" w:hAnsi="Times New Roman" w:cs="Times New Roman"/>
                <w:color w:val="auto"/>
                <w:sz w:val="21"/>
                <w:szCs w:val="21"/>
                <w:highlight w:val="none"/>
                <w:u w:val="none"/>
                <w:lang w:val="en-US" w:eastAsia="zh-CN"/>
              </w:rPr>
              <w:t>；合同包2：</w:t>
            </w:r>
            <w:r>
              <w:rPr>
                <w:rFonts w:hint="eastAsia" w:ascii="宋体" w:hAnsi="宋体" w:cs="Times New Roman"/>
                <w:color w:val="auto"/>
                <w:sz w:val="21"/>
                <w:szCs w:val="21"/>
                <w:highlight w:val="none"/>
                <w:u w:val="single"/>
                <w:lang w:val="en-US" w:eastAsia="zh-CN"/>
              </w:rPr>
              <w:t>70</w:t>
            </w:r>
            <w:r>
              <w:rPr>
                <w:rFonts w:hint="eastAsia" w:ascii="Times New Roman" w:hAnsi="Times New Roman" w:cs="Times New Roman"/>
                <w:color w:val="auto"/>
                <w:sz w:val="21"/>
                <w:szCs w:val="21"/>
                <w:highlight w:val="none"/>
                <w:u w:val="single"/>
                <w:lang w:val="en-US" w:eastAsia="zh-CN"/>
              </w:rPr>
              <w:t>万元</w:t>
            </w:r>
            <w:r>
              <w:rPr>
                <w:rFonts w:hint="eastAsia" w:ascii="Times New Roman" w:hAnsi="Times New Roman" w:cs="Times New Roman"/>
                <w:color w:val="auto"/>
                <w:sz w:val="21"/>
                <w:szCs w:val="21"/>
                <w:highlight w:val="none"/>
                <w:u w:val="none"/>
                <w:lang w:val="en-US" w:eastAsia="zh-CN"/>
              </w:rPr>
              <w:t>；合同包3：</w:t>
            </w:r>
            <w:r>
              <w:rPr>
                <w:rFonts w:hint="eastAsia" w:ascii="宋体" w:hAnsi="宋体" w:cs="Times New Roman"/>
                <w:color w:val="auto"/>
                <w:sz w:val="21"/>
                <w:szCs w:val="21"/>
                <w:highlight w:val="none"/>
                <w:u w:val="single"/>
                <w:lang w:val="en-US" w:eastAsia="zh-CN"/>
              </w:rPr>
              <w:t>20</w:t>
            </w:r>
            <w:r>
              <w:rPr>
                <w:rFonts w:hint="eastAsia" w:ascii="Times New Roman" w:hAnsi="Times New Roman" w:cs="Times New Roman"/>
                <w:color w:val="auto"/>
                <w:sz w:val="21"/>
                <w:szCs w:val="21"/>
                <w:highlight w:val="none"/>
                <w:u w:val="single"/>
                <w:lang w:val="en-US" w:eastAsia="zh-CN"/>
              </w:rPr>
              <w:t>万元</w:t>
            </w:r>
            <w:r>
              <w:rPr>
                <w:rFonts w:hint="eastAsia" w:ascii="Times New Roman" w:hAnsi="Times New Roman" w:cs="Times New Roman"/>
                <w:color w:val="auto"/>
                <w:sz w:val="21"/>
                <w:szCs w:val="21"/>
                <w:highlight w:val="none"/>
                <w:u w:val="none"/>
                <w:lang w:val="en-US" w:eastAsia="zh-CN"/>
              </w:rPr>
              <w:t>。</w:t>
            </w:r>
          </w:p>
        </w:tc>
      </w:tr>
      <w:tr w14:paraId="002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bottom w:val="single" w:color="auto" w:sz="4" w:space="0"/>
              <w:right w:val="single" w:color="auto" w:sz="4" w:space="0"/>
            </w:tcBorders>
            <w:noWrap w:val="0"/>
            <w:vAlign w:val="center"/>
          </w:tcPr>
          <w:p w14:paraId="2FBA904A">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1984" w:type="dxa"/>
            <w:vMerge w:val="continue"/>
            <w:tcBorders>
              <w:left w:val="single" w:color="auto" w:sz="4" w:space="0"/>
              <w:bottom w:val="single" w:color="auto" w:sz="4" w:space="0"/>
              <w:right w:val="single" w:color="auto" w:sz="4" w:space="0"/>
            </w:tcBorders>
            <w:noWrap w:val="0"/>
            <w:vAlign w:val="center"/>
          </w:tcPr>
          <w:p w14:paraId="2B2AF4E7">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25E08D3E">
            <w:pPr>
              <w:adjustRightInd w:val="0"/>
              <w:snapToGrid w:val="0"/>
              <w:spacing w:after="0"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最高限价：</w:t>
            </w:r>
            <w:r>
              <w:rPr>
                <w:rFonts w:hint="eastAsia" w:ascii="Times New Roman" w:hAnsi="Times New Roman" w:cs="Times New Roman"/>
                <w:color w:val="auto"/>
                <w:sz w:val="21"/>
                <w:szCs w:val="21"/>
                <w:highlight w:val="none"/>
                <w:lang w:val="en-US" w:eastAsia="zh-CN"/>
              </w:rPr>
              <w:t>合同包1：</w:t>
            </w:r>
            <w:r>
              <w:rPr>
                <w:rFonts w:hint="eastAsia" w:ascii="宋体" w:hAnsi="宋体" w:eastAsia="宋体" w:cs="Times New Roman"/>
                <w:color w:val="auto"/>
                <w:sz w:val="21"/>
                <w:szCs w:val="21"/>
                <w:highlight w:val="none"/>
                <w:u w:val="single"/>
                <w:lang w:val="en-US" w:eastAsia="zh-CN"/>
              </w:rPr>
              <w:t>45</w:t>
            </w:r>
            <w:r>
              <w:rPr>
                <w:rFonts w:hint="eastAsia" w:ascii="Times New Roman" w:hAnsi="Times New Roman" w:cs="Times New Roman"/>
                <w:color w:val="auto"/>
                <w:sz w:val="21"/>
                <w:szCs w:val="21"/>
                <w:highlight w:val="none"/>
                <w:u w:val="single"/>
                <w:lang w:val="en-US" w:eastAsia="zh-CN"/>
              </w:rPr>
              <w:t>万元</w:t>
            </w:r>
            <w:r>
              <w:rPr>
                <w:rFonts w:hint="eastAsia" w:ascii="Times New Roman" w:hAnsi="Times New Roman" w:cs="Times New Roman"/>
                <w:color w:val="auto"/>
                <w:sz w:val="21"/>
                <w:szCs w:val="21"/>
                <w:highlight w:val="none"/>
                <w:u w:val="none"/>
                <w:lang w:val="en-US" w:eastAsia="zh-CN"/>
              </w:rPr>
              <w:t>；合同包2：</w:t>
            </w:r>
            <w:r>
              <w:rPr>
                <w:rFonts w:hint="eastAsia" w:ascii="宋体" w:hAnsi="宋体" w:cs="Times New Roman"/>
                <w:color w:val="auto"/>
                <w:sz w:val="21"/>
                <w:szCs w:val="21"/>
                <w:highlight w:val="none"/>
                <w:u w:val="single"/>
                <w:lang w:val="en-US" w:eastAsia="zh-CN"/>
              </w:rPr>
              <w:t>70</w:t>
            </w:r>
            <w:r>
              <w:rPr>
                <w:rFonts w:hint="eastAsia" w:ascii="Times New Roman" w:hAnsi="Times New Roman" w:cs="Times New Roman"/>
                <w:color w:val="auto"/>
                <w:sz w:val="21"/>
                <w:szCs w:val="21"/>
                <w:highlight w:val="none"/>
                <w:u w:val="single"/>
                <w:lang w:val="en-US" w:eastAsia="zh-CN"/>
              </w:rPr>
              <w:t>万元</w:t>
            </w:r>
            <w:r>
              <w:rPr>
                <w:rFonts w:hint="eastAsia" w:ascii="Times New Roman" w:hAnsi="Times New Roman" w:cs="Times New Roman"/>
                <w:color w:val="auto"/>
                <w:sz w:val="21"/>
                <w:szCs w:val="21"/>
                <w:highlight w:val="none"/>
                <w:u w:val="none"/>
                <w:lang w:val="en-US" w:eastAsia="zh-CN"/>
              </w:rPr>
              <w:t>；合同包3：</w:t>
            </w:r>
            <w:r>
              <w:rPr>
                <w:rFonts w:hint="eastAsia" w:ascii="宋体" w:hAnsi="宋体" w:cs="Times New Roman"/>
                <w:color w:val="auto"/>
                <w:sz w:val="21"/>
                <w:szCs w:val="21"/>
                <w:highlight w:val="none"/>
                <w:u w:val="single"/>
                <w:lang w:val="en-US" w:eastAsia="zh-CN"/>
              </w:rPr>
              <w:t>20</w:t>
            </w:r>
            <w:r>
              <w:rPr>
                <w:rFonts w:hint="eastAsia" w:ascii="Times New Roman" w:hAnsi="Times New Roman" w:cs="Times New Roman"/>
                <w:color w:val="auto"/>
                <w:sz w:val="21"/>
                <w:szCs w:val="21"/>
                <w:highlight w:val="none"/>
                <w:u w:val="single"/>
                <w:lang w:val="en-US" w:eastAsia="zh-CN"/>
              </w:rPr>
              <w:t>万元</w:t>
            </w:r>
            <w:r>
              <w:rPr>
                <w:rFonts w:hint="eastAsia" w:ascii="Times New Roman" w:hAnsi="Times New Roman" w:cs="Times New Roman"/>
                <w:color w:val="auto"/>
                <w:sz w:val="21"/>
                <w:szCs w:val="21"/>
                <w:highlight w:val="none"/>
                <w:u w:val="none"/>
                <w:lang w:val="en-US" w:eastAsia="zh-CN"/>
              </w:rPr>
              <w:t>。</w:t>
            </w:r>
          </w:p>
        </w:tc>
      </w:tr>
      <w:tr w14:paraId="3EF7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1C245E62">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9EB0ED6">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采购需求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E582E89">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详见《招标文件（技术部分）》</w:t>
            </w:r>
          </w:p>
        </w:tc>
      </w:tr>
      <w:tr w14:paraId="553E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53B3CF97">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1E3D597">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项目属性和类别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6457481">
            <w:pPr>
              <w:adjustRightInd w:val="0"/>
              <w:snapToGrid w:val="0"/>
              <w:spacing w:after="0" w:line="360" w:lineRule="auto"/>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项目属性：</w:t>
            </w:r>
            <w:r>
              <w:rPr>
                <w:rFonts w:hint="default" w:ascii="Times New Roman" w:hAnsi="Times New Roman" w:eastAsia="宋体" w:cs="Times New Roman"/>
                <w:color w:val="auto"/>
                <w:sz w:val="21"/>
                <w:szCs w:val="21"/>
                <w:highlight w:val="none"/>
              </w:rPr>
              <w:sym w:font="Wingdings 2" w:char="F0A3"/>
            </w:r>
            <w:r>
              <w:rPr>
                <w:rFonts w:hint="default" w:ascii="Times New Roman" w:hAnsi="Times New Roman" w:eastAsia="宋体" w:cs="Times New Roman"/>
                <w:color w:val="auto"/>
                <w:sz w:val="21"/>
                <w:szCs w:val="21"/>
                <w:highlight w:val="none"/>
              </w:rPr>
              <w:t xml:space="preserve">货物           </w:t>
            </w: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服务</w:t>
            </w:r>
          </w:p>
          <w:p w14:paraId="7B91A7A1">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项目类别：</w:t>
            </w: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 xml:space="preserve">信息化项目     </w:t>
            </w: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非信息化项目</w:t>
            </w:r>
          </w:p>
        </w:tc>
      </w:tr>
      <w:tr w14:paraId="71CF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091045D1">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BD35382">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采购人</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F93DEB4">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名称：</w:t>
            </w:r>
            <w:r>
              <w:rPr>
                <w:rFonts w:hint="eastAsia" w:ascii="宋体" w:hAnsi="宋体" w:eastAsia="宋体" w:cs="宋体"/>
                <w:color w:val="auto"/>
                <w:sz w:val="21"/>
                <w:szCs w:val="21"/>
                <w:highlight w:val="none"/>
                <w:lang w:eastAsia="zh-CN"/>
              </w:rPr>
              <w:t>国家税务总局三明市三元区税务局</w:t>
            </w:r>
            <w:r>
              <w:rPr>
                <w:rFonts w:hint="eastAsia" w:ascii="宋体" w:hAnsi="宋体" w:eastAsia="宋体" w:cs="宋体"/>
                <w:color w:val="auto"/>
                <w:sz w:val="21"/>
                <w:szCs w:val="21"/>
                <w:highlight w:val="none"/>
              </w:rPr>
              <w:t>　</w:t>
            </w:r>
          </w:p>
          <w:p w14:paraId="004632A0">
            <w:pPr>
              <w:adjustRightInd w:val="0"/>
              <w:snapToGrid w:val="0"/>
              <w:spacing w:after="0" w:line="360" w:lineRule="auto"/>
              <w:jc w:val="left"/>
              <w:rPr>
                <w:rFonts w:hint="eastAsia" w:ascii="宋体" w:hAnsi="宋体" w:eastAsia="宋体" w:cs="宋体"/>
                <w:color w:val="auto"/>
                <w:sz w:val="21"/>
                <w:szCs w:val="21"/>
                <w:highlight w:val="none"/>
              </w:rPr>
            </w:pPr>
            <w:r>
              <w:rPr>
                <w:rFonts w:hint="default" w:ascii="Times New Roman" w:hAnsi="Times New Roman" w:eastAsia="宋体" w:cs="Times New Roman"/>
                <w:color w:val="auto"/>
                <w:sz w:val="21"/>
                <w:szCs w:val="21"/>
                <w:highlight w:val="none"/>
              </w:rPr>
              <w:t>地址：</w:t>
            </w:r>
            <w:r>
              <w:rPr>
                <w:rFonts w:hint="eastAsia" w:ascii="宋体" w:hAnsi="宋体" w:eastAsia="宋体" w:cs="宋体"/>
                <w:color w:val="auto"/>
                <w:sz w:val="21"/>
                <w:szCs w:val="21"/>
                <w:highlight w:val="none"/>
              </w:rPr>
              <w:t>三明市三元区和仁新村43幢</w:t>
            </w:r>
          </w:p>
          <w:p w14:paraId="5DA799BC">
            <w:pPr>
              <w:adjustRightInd w:val="0"/>
              <w:snapToGrid w:val="0"/>
              <w:spacing w:after="0" w:line="360" w:lineRule="auto"/>
              <w:jc w:val="left"/>
              <w:rPr>
                <w:rFonts w:hint="default" w:ascii="Times New Roman" w:hAnsi="Times New Roman" w:eastAsia="宋体" w:cs="Times New Roman"/>
                <w:bCs/>
                <w:color w:val="auto"/>
                <w:sz w:val="21"/>
                <w:szCs w:val="21"/>
                <w:highlight w:val="none"/>
                <w:u w:val="single"/>
              </w:rPr>
            </w:pPr>
            <w:r>
              <w:rPr>
                <w:rFonts w:hint="default" w:ascii="Times New Roman" w:hAnsi="Times New Roman" w:eastAsia="宋体" w:cs="Times New Roman"/>
                <w:color w:val="auto"/>
                <w:sz w:val="21"/>
                <w:szCs w:val="21"/>
                <w:highlight w:val="none"/>
              </w:rPr>
              <w:t>联系</w:t>
            </w:r>
            <w:r>
              <w:rPr>
                <w:rFonts w:hint="default" w:ascii="Times New Roman" w:hAnsi="Times New Roman" w:eastAsia="宋体" w:cs="Times New Roman"/>
                <w:bCs/>
                <w:color w:val="auto"/>
                <w:sz w:val="21"/>
                <w:szCs w:val="21"/>
                <w:highlight w:val="none"/>
              </w:rPr>
              <w:t>电话：</w:t>
            </w:r>
            <w:r>
              <w:rPr>
                <w:rFonts w:hint="eastAsia" w:ascii="宋体" w:hAnsi="宋体" w:eastAsia="宋体" w:cs="宋体"/>
                <w:color w:val="auto"/>
                <w:sz w:val="21"/>
                <w:szCs w:val="21"/>
                <w:highlight w:val="none"/>
                <w:lang w:val="en-US" w:eastAsia="zh-CN"/>
              </w:rPr>
              <w:t xml:space="preserve">0598-8953186 </w:t>
            </w:r>
            <w:r>
              <w:rPr>
                <w:rFonts w:hint="default" w:ascii="宋体" w:hAnsi="宋体" w:eastAsia="宋体" w:cs="宋体"/>
                <w:color w:val="auto"/>
                <w:sz w:val="21"/>
                <w:szCs w:val="21"/>
                <w:highlight w:val="none"/>
              </w:rPr>
              <w:t xml:space="preserve">  </w:t>
            </w:r>
          </w:p>
          <w:p w14:paraId="3D962F3D">
            <w:pPr>
              <w:adjustRightInd w:val="0"/>
              <w:snapToGrid w:val="0"/>
              <w:spacing w:after="0" w:line="360" w:lineRule="auto"/>
              <w:jc w:val="left"/>
              <w:rPr>
                <w:rFonts w:hint="default"/>
                <w:lang w:val="zh-CN"/>
              </w:rPr>
            </w:pPr>
            <w:r>
              <w:rPr>
                <w:rFonts w:hint="default" w:ascii="Times New Roman" w:hAnsi="Times New Roman" w:eastAsia="宋体" w:cs="Times New Roman"/>
                <w:color w:val="auto"/>
                <w:sz w:val="21"/>
                <w:szCs w:val="21"/>
                <w:highlight w:val="none"/>
              </w:rPr>
              <w:t>联系</w:t>
            </w:r>
            <w:r>
              <w:rPr>
                <w:rFonts w:hint="eastAsia" w:ascii="Times New Roman" w:hAnsi="Times New Roman" w:cs="Times New Roman"/>
                <w:color w:val="auto"/>
                <w:sz w:val="21"/>
                <w:szCs w:val="21"/>
                <w:highlight w:val="none"/>
                <w:lang w:val="en-US" w:eastAsia="zh-CN"/>
              </w:rPr>
              <w:t>人</w:t>
            </w:r>
            <w:r>
              <w:rPr>
                <w:rFonts w:hint="default" w:ascii="Times New Roman" w:hAnsi="Times New Roman" w:eastAsia="宋体" w:cs="Times New Roman"/>
                <w:color w:val="auto"/>
                <w:sz w:val="21"/>
                <w:szCs w:val="21"/>
                <w:highlight w:val="none"/>
              </w:rPr>
              <w:t>：</w:t>
            </w:r>
            <w:r>
              <w:rPr>
                <w:rFonts w:hint="eastAsia" w:ascii="宋体" w:hAnsi="宋体" w:eastAsia="宋体" w:cs="宋体"/>
                <w:color w:val="auto"/>
                <w:sz w:val="21"/>
                <w:szCs w:val="21"/>
                <w:highlight w:val="none"/>
                <w:lang w:val="en-US" w:eastAsia="zh-CN"/>
              </w:rPr>
              <w:t>小罗</w:t>
            </w:r>
            <w:r>
              <w:rPr>
                <w:rFonts w:hint="default" w:ascii="宋体" w:hAnsi="宋体" w:eastAsia="宋体" w:cs="宋体"/>
                <w:color w:val="auto"/>
                <w:sz w:val="21"/>
                <w:szCs w:val="21"/>
                <w:highlight w:val="none"/>
              </w:rPr>
              <w:t xml:space="preserve">       </w:t>
            </w:r>
          </w:p>
        </w:tc>
      </w:tr>
      <w:tr w14:paraId="12C3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55203E7">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B053AFB">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采购代理机构</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BDA3C44">
            <w:pPr>
              <w:adjustRightInd w:val="0"/>
              <w:snapToGrid w:val="0"/>
              <w:spacing w:after="0"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名称：</w:t>
            </w:r>
            <w:r>
              <w:rPr>
                <w:rFonts w:hint="eastAsia" w:ascii="Times New Roman" w:hAnsi="Times New Roman" w:eastAsia="宋体" w:cs="Times New Roman"/>
                <w:color w:val="auto"/>
                <w:sz w:val="21"/>
                <w:szCs w:val="21"/>
                <w:highlight w:val="none"/>
                <w:lang w:val="en-US" w:eastAsia="zh-CN"/>
              </w:rPr>
              <w:t>福建盛鑫招标代理有限公司</w:t>
            </w:r>
          </w:p>
          <w:p w14:paraId="67195066">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地址：</w:t>
            </w:r>
            <w:r>
              <w:rPr>
                <w:rFonts w:hint="eastAsia" w:ascii="Times New Roman" w:hAnsi="Times New Roman" w:eastAsia="宋体" w:cs="Times New Roman"/>
                <w:color w:val="auto"/>
                <w:sz w:val="21"/>
                <w:szCs w:val="21"/>
                <w:highlight w:val="none"/>
                <w:lang w:val="en-US" w:eastAsia="zh-CN"/>
              </w:rPr>
              <w:t>福建省福州市鼓楼区鼓东街道湖东路79号福建外运大厦七层</w:t>
            </w:r>
            <w:r>
              <w:rPr>
                <w:rFonts w:hint="eastAsia" w:ascii="Times New Roman" w:hAnsi="Times New Roman" w:eastAsia="宋体" w:cs="Times New Roman"/>
                <w:color w:val="auto"/>
                <w:sz w:val="21"/>
                <w:szCs w:val="21"/>
                <w:highlight w:val="none"/>
              </w:rPr>
              <w:t>　</w:t>
            </w:r>
            <w:r>
              <w:rPr>
                <w:rFonts w:hint="default" w:ascii="Times New Roman" w:hAnsi="Times New Roman" w:eastAsia="宋体" w:cs="Times New Roman"/>
                <w:color w:val="auto"/>
                <w:sz w:val="21"/>
                <w:szCs w:val="21"/>
                <w:highlight w:val="none"/>
              </w:rPr>
              <w:t xml:space="preserve"> </w:t>
            </w:r>
          </w:p>
          <w:p w14:paraId="1E0B6134">
            <w:pPr>
              <w:adjustRightInd w:val="0"/>
              <w:snapToGrid w:val="0"/>
              <w:spacing w:after="0" w:line="36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联系电话：</w:t>
            </w:r>
            <w:r>
              <w:rPr>
                <w:rFonts w:hint="eastAsia" w:ascii="Times New Roman" w:hAnsi="Times New Roman" w:eastAsia="宋体" w:cs="Times New Roman"/>
                <w:color w:val="auto"/>
                <w:sz w:val="21"/>
                <w:szCs w:val="21"/>
                <w:highlight w:val="none"/>
                <w:lang w:val="en-US" w:eastAsia="zh-CN"/>
              </w:rPr>
              <w:t>0598-8319711</w:t>
            </w:r>
          </w:p>
          <w:p w14:paraId="214FAF08">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w:t>
            </w:r>
            <w:r>
              <w:rPr>
                <w:rFonts w:hint="eastAsia" w:ascii="Times New Roman" w:hAnsi="Times New Roman" w:eastAsia="宋体" w:cs="Times New Roman"/>
                <w:color w:val="auto"/>
                <w:sz w:val="21"/>
                <w:szCs w:val="21"/>
                <w:highlight w:val="none"/>
                <w:lang w:val="en-US" w:eastAsia="zh-CN"/>
              </w:rPr>
              <w:t>人</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李莉、丘土炎、蓝斌</w:t>
            </w:r>
          </w:p>
          <w:p w14:paraId="45D9BE93">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邮箱：</w:t>
            </w:r>
            <w:r>
              <w:rPr>
                <w:rFonts w:hint="eastAsia" w:ascii="Times New Roman" w:hAnsi="Times New Roman" w:eastAsia="宋体" w:cs="Times New Roman"/>
                <w:color w:val="auto"/>
                <w:sz w:val="21"/>
                <w:szCs w:val="21"/>
                <w:highlight w:val="none"/>
              </w:rPr>
              <w:t>fjsxzbsm@163.com</w:t>
            </w:r>
          </w:p>
        </w:tc>
      </w:tr>
      <w:tr w14:paraId="3E0E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4E86B4E3">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A2ABCC5">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投标人资格要求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63C20285">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采购包2、采购包3</w:t>
            </w:r>
            <w:r>
              <w:rPr>
                <w:rFonts w:hint="default" w:ascii="Times New Roman" w:hAnsi="Times New Roman" w:eastAsia="宋体" w:cs="Times New Roman"/>
                <w:color w:val="auto"/>
                <w:sz w:val="21"/>
                <w:szCs w:val="21"/>
                <w:highlight w:val="none"/>
                <w:lang w:val="zh-CN"/>
              </w:rPr>
              <w:t>详见第一章投标邀请“二、申请人的资格要求”</w:t>
            </w:r>
          </w:p>
        </w:tc>
      </w:tr>
      <w:tr w14:paraId="7920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741A4645">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8322B9C">
            <w:pP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是否接受联合体投标</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69444C59">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不接受</w:t>
            </w:r>
          </w:p>
          <w:p w14:paraId="39D0DD99">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F0A3"/>
            </w:r>
            <w:r>
              <w:rPr>
                <w:rFonts w:hint="default" w:ascii="Times New Roman" w:hAnsi="Times New Roman" w:eastAsia="宋体" w:cs="Times New Roman"/>
                <w:color w:val="auto"/>
                <w:sz w:val="21"/>
                <w:szCs w:val="21"/>
                <w:highlight w:val="none"/>
              </w:rPr>
              <w:t>接受（接受联合体投标且投标人为联合体的，投标人应提供联合体协议；否则无须提供。）</w:t>
            </w:r>
          </w:p>
        </w:tc>
      </w:tr>
      <w:tr w14:paraId="0968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03854EB5">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40D0BB3">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采购标的对应的中小企业划分标准所属行业</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FA76C4B">
            <w:pPr>
              <w:adjustRightInd w:val="0"/>
              <w:snapToGrid w:val="0"/>
              <w:spacing w:after="0" w:line="360" w:lineRule="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批发业</w:t>
            </w:r>
          </w:p>
        </w:tc>
      </w:tr>
      <w:tr w14:paraId="63C5D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3D4C83F7">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97EE7B0">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非主体、非关键性工作分包</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80E55B7">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是否允许中标人将本项目的非主体、非关键性工作进行分包：</w:t>
            </w:r>
          </w:p>
          <w:p w14:paraId="7655717B">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采购包2、采购包3</w:t>
            </w:r>
            <w:r>
              <w:rPr>
                <w:rFonts w:hint="default" w:ascii="Times New Roman" w:hAnsi="Times New Roman" w:eastAsia="宋体" w:cs="Times New Roman"/>
                <w:color w:val="auto"/>
                <w:sz w:val="21"/>
                <w:szCs w:val="21"/>
                <w:highlight w:val="none"/>
              </w:rPr>
              <w:t>：</w:t>
            </w:r>
          </w:p>
          <w:p w14:paraId="2F50E0CD">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不允许</w:t>
            </w:r>
          </w:p>
          <w:p w14:paraId="5AC12F6F">
            <w:pPr>
              <w:adjustRightInd w:val="0"/>
              <w:snapToGrid w:val="0"/>
              <w:spacing w:after="0" w:line="360" w:lineRule="auto"/>
              <w:jc w:val="left"/>
              <w:rPr>
                <w:rFonts w:hint="default" w:ascii="Times New Roman" w:hAnsi="Times New Roman" w:eastAsia="宋体" w:cs="Times New Roman"/>
                <w:i/>
                <w:color w:val="auto"/>
                <w:sz w:val="21"/>
                <w:szCs w:val="21"/>
                <w:highlight w:val="none"/>
                <w:u w:val="single"/>
              </w:rPr>
            </w:pPr>
            <w:r>
              <w:rPr>
                <w:rFonts w:hint="default" w:ascii="Times New Roman" w:hAnsi="Times New Roman" w:eastAsia="宋体" w:cs="Times New Roman"/>
                <w:color w:val="auto"/>
                <w:sz w:val="21"/>
                <w:szCs w:val="21"/>
                <w:highlight w:val="none"/>
              </w:rPr>
              <w:t>□允许，</w:t>
            </w:r>
            <w:r>
              <w:rPr>
                <w:rFonts w:hint="default" w:ascii="Times New Roman" w:hAnsi="Times New Roman" w:eastAsia="宋体" w:cs="Times New Roman"/>
                <w:i/>
                <w:color w:val="auto"/>
                <w:sz w:val="21"/>
                <w:szCs w:val="21"/>
                <w:highlight w:val="none"/>
                <w:u w:val="single"/>
              </w:rPr>
              <w:t>（写明可以分包履行的具体内容、金额或者比例）</w:t>
            </w:r>
          </w:p>
          <w:p w14:paraId="29E91800">
            <w:pPr>
              <w:adjustRightInd w:val="0"/>
              <w:snapToGrid w:val="0"/>
              <w:spacing w:after="0" w:line="360" w:lineRule="auto"/>
              <w:jc w:val="left"/>
              <w:rPr>
                <w:rFonts w:hint="default" w:ascii="Times New Roman" w:hAnsi="Times New Roman" w:cs="Times New Roman"/>
                <w:color w:val="auto"/>
                <w:sz w:val="21"/>
                <w:szCs w:val="21"/>
                <w:highlight w:val="none"/>
              </w:rPr>
            </w:pPr>
          </w:p>
        </w:tc>
      </w:tr>
      <w:tr w14:paraId="25F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A4D7E42">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w:t>
            </w:r>
          </w:p>
        </w:tc>
        <w:tc>
          <w:tcPr>
            <w:tcW w:w="1984" w:type="dxa"/>
            <w:noWrap w:val="0"/>
            <w:vAlign w:val="center"/>
          </w:tcPr>
          <w:p w14:paraId="7D3C4D36">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核心产品</w:t>
            </w:r>
          </w:p>
        </w:tc>
        <w:tc>
          <w:tcPr>
            <w:tcW w:w="6058" w:type="dxa"/>
            <w:gridSpan w:val="2"/>
            <w:noWrap w:val="0"/>
            <w:vAlign w:val="center"/>
          </w:tcPr>
          <w:p w14:paraId="3C07A6EC">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无</w:t>
            </w:r>
          </w:p>
          <w:p w14:paraId="7D2F917B">
            <w:pPr>
              <w:adjustRightInd w:val="0"/>
              <w:snapToGrid w:val="0"/>
              <w:spacing w:after="0" w:line="360" w:lineRule="auto"/>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sz w:val="24"/>
                <w:highlight w:val="none"/>
              </w:rPr>
              <w:t>服务类项目不适用本条款规定</w:t>
            </w:r>
          </w:p>
        </w:tc>
      </w:tr>
      <w:tr w14:paraId="244E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4A7A3A5">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w:t>
            </w:r>
          </w:p>
        </w:tc>
        <w:tc>
          <w:tcPr>
            <w:tcW w:w="1984" w:type="dxa"/>
            <w:noWrap w:val="0"/>
            <w:vAlign w:val="center"/>
          </w:tcPr>
          <w:p w14:paraId="1A0A20BA">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采购进口产品</w:t>
            </w:r>
          </w:p>
        </w:tc>
        <w:tc>
          <w:tcPr>
            <w:tcW w:w="6058" w:type="dxa"/>
            <w:gridSpan w:val="2"/>
            <w:noWrap w:val="0"/>
            <w:vAlign w:val="center"/>
          </w:tcPr>
          <w:p w14:paraId="39AAED69">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本采购项目拒绝进口产品参加投标</w:t>
            </w:r>
          </w:p>
          <w:p w14:paraId="383FF533">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□本采购项目已经财政部审核同意购买进口产品</w:t>
            </w:r>
          </w:p>
          <w:p w14:paraId="0611897F">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□其他____________</w:t>
            </w:r>
          </w:p>
        </w:tc>
      </w:tr>
      <w:tr w14:paraId="7012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18DE534">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w:t>
            </w:r>
          </w:p>
        </w:tc>
        <w:tc>
          <w:tcPr>
            <w:tcW w:w="1984" w:type="dxa"/>
            <w:noWrap w:val="0"/>
            <w:vAlign w:val="center"/>
          </w:tcPr>
          <w:p w14:paraId="09A24301">
            <w:pPr>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信息发布媒体</w:t>
            </w:r>
          </w:p>
        </w:tc>
        <w:tc>
          <w:tcPr>
            <w:tcW w:w="6058" w:type="dxa"/>
            <w:gridSpan w:val="2"/>
            <w:noWrap w:val="0"/>
            <w:vAlign w:val="center"/>
          </w:tcPr>
          <w:p w14:paraId="73FB43AE">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（1）中国政府采购网（</w:t>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HYPERLINK "http://www.ccgp.gov.cn" </w:instrText>
            </w:r>
            <w:r>
              <w:rPr>
                <w:rFonts w:hint="default" w:ascii="Times New Roman" w:hAnsi="Times New Roman"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www.ccgp.gov.cn</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w:t>
            </w:r>
          </w:p>
        </w:tc>
      </w:tr>
      <w:tr w14:paraId="54E6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8657439">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w:t>
            </w:r>
          </w:p>
        </w:tc>
        <w:tc>
          <w:tcPr>
            <w:tcW w:w="1984" w:type="dxa"/>
            <w:noWrap w:val="0"/>
            <w:vAlign w:val="center"/>
          </w:tcPr>
          <w:p w14:paraId="16513C3D">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获取招标文件</w:t>
            </w:r>
          </w:p>
          <w:p w14:paraId="27E99655">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时间、地点和</w:t>
            </w:r>
          </w:p>
          <w:p w14:paraId="6977680A">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方式等</w:t>
            </w:r>
          </w:p>
        </w:tc>
        <w:tc>
          <w:tcPr>
            <w:tcW w:w="6058" w:type="dxa"/>
            <w:gridSpan w:val="2"/>
            <w:noWrap w:val="0"/>
            <w:vAlign w:val="center"/>
          </w:tcPr>
          <w:p w14:paraId="036665AD">
            <w:pPr>
              <w:adjustRightInd w:val="0"/>
              <w:snapToGrid w:val="0"/>
              <w:spacing w:after="0" w:line="360" w:lineRule="auto"/>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1.时间：</w:t>
            </w:r>
            <w:r>
              <w:rPr>
                <w:rFonts w:hint="eastAsia" w:ascii="Times New Roman" w:hAnsi="Times New Roman" w:eastAsia="宋体" w:cs="Times New Roman"/>
                <w:color w:val="auto"/>
                <w:sz w:val="21"/>
                <w:szCs w:val="21"/>
                <w:highlight w:val="none"/>
                <w:lang w:val="en-US" w:eastAsia="zh-CN"/>
              </w:rPr>
              <w:t>2025</w:t>
            </w:r>
            <w:r>
              <w:rPr>
                <w:rFonts w:hint="eastAsia" w:ascii="Times New Roman" w:hAnsi="Times New Roman" w:eastAsia="宋体" w:cs="Times New Roman"/>
                <w:color w:val="auto"/>
                <w:sz w:val="21"/>
                <w:szCs w:val="21"/>
                <w:highlight w:val="none"/>
                <w:lang w:eastAsia="zh-CN"/>
              </w:rPr>
              <w:t>年</w:t>
            </w:r>
            <w:r>
              <w:rPr>
                <w:rFonts w:hint="eastAsia" w:ascii="Times New Roman" w:hAnsi="Times New Roman" w:eastAsia="宋体" w:cs="Times New Roman"/>
                <w:color w:val="auto"/>
                <w:sz w:val="21"/>
                <w:szCs w:val="21"/>
                <w:highlight w:val="none"/>
                <w:lang w:val="en-US" w:eastAsia="zh-CN"/>
              </w:rPr>
              <w:t>04</w:t>
            </w:r>
            <w:r>
              <w:rPr>
                <w:rFonts w:hint="eastAsia" w:ascii="Times New Roman" w:hAnsi="Times New Roman" w:eastAsia="宋体" w:cs="Times New Roman"/>
                <w:color w:val="auto"/>
                <w:sz w:val="21"/>
                <w:szCs w:val="21"/>
                <w:highlight w:val="none"/>
                <w:lang w:eastAsia="zh-CN"/>
              </w:rPr>
              <w:t>月</w:t>
            </w:r>
            <w:r>
              <w:rPr>
                <w:rFonts w:hint="eastAsia" w:ascii="Times New Roman" w:hAnsi="Times New Roman" w:eastAsia="宋体" w:cs="Times New Roman"/>
                <w:color w:val="auto"/>
                <w:sz w:val="21"/>
                <w:szCs w:val="21"/>
                <w:highlight w:val="none"/>
                <w:lang w:val="en-US" w:eastAsia="zh-CN"/>
              </w:rPr>
              <w:t>30</w:t>
            </w:r>
            <w:r>
              <w:rPr>
                <w:rFonts w:hint="eastAsia" w:ascii="Times New Roman" w:hAnsi="Times New Roman" w:eastAsia="宋体" w:cs="Times New Roman"/>
                <w:color w:val="auto"/>
                <w:sz w:val="21"/>
                <w:szCs w:val="21"/>
                <w:highlight w:val="none"/>
                <w:lang w:eastAsia="zh-CN"/>
              </w:rPr>
              <w:t>日 至</w:t>
            </w:r>
            <w:r>
              <w:rPr>
                <w:rFonts w:hint="eastAsia" w:ascii="Times New Roman" w:hAnsi="Times New Roman" w:eastAsia="宋体" w:cs="Times New Roman"/>
                <w:color w:val="auto"/>
                <w:sz w:val="21"/>
                <w:szCs w:val="21"/>
                <w:highlight w:val="none"/>
                <w:lang w:val="en-US" w:eastAsia="zh-CN"/>
              </w:rPr>
              <w:t>2025</w:t>
            </w:r>
            <w:r>
              <w:rPr>
                <w:rFonts w:hint="eastAsia" w:ascii="Times New Roman" w:hAnsi="Times New Roman" w:eastAsia="宋体" w:cs="Times New Roman"/>
                <w:color w:val="auto"/>
                <w:sz w:val="21"/>
                <w:szCs w:val="21"/>
                <w:highlight w:val="none"/>
                <w:lang w:eastAsia="zh-CN"/>
              </w:rPr>
              <w:t>年</w:t>
            </w:r>
            <w:r>
              <w:rPr>
                <w:rFonts w:hint="eastAsia" w:ascii="Times New Roman" w:hAnsi="Times New Roman" w:eastAsia="宋体" w:cs="Times New Roman"/>
                <w:color w:val="auto"/>
                <w:sz w:val="21"/>
                <w:szCs w:val="21"/>
                <w:highlight w:val="none"/>
                <w:lang w:val="en-US" w:eastAsia="zh-CN"/>
              </w:rPr>
              <w:t>05</w:t>
            </w:r>
            <w:r>
              <w:rPr>
                <w:rFonts w:hint="eastAsia" w:ascii="Times New Roman" w:hAnsi="Times New Roman" w:eastAsia="宋体" w:cs="Times New Roman"/>
                <w:color w:val="auto"/>
                <w:sz w:val="21"/>
                <w:szCs w:val="21"/>
                <w:highlight w:val="none"/>
                <w:lang w:eastAsia="zh-CN"/>
              </w:rPr>
              <w:t>月</w:t>
            </w:r>
            <w:r>
              <w:rPr>
                <w:rFonts w:hint="eastAsia" w:ascii="Times New Roman" w:hAnsi="Times New Roman" w:eastAsia="宋体" w:cs="Times New Roman"/>
                <w:color w:val="auto"/>
                <w:sz w:val="21"/>
                <w:szCs w:val="21"/>
                <w:highlight w:val="none"/>
                <w:lang w:val="en-US" w:eastAsia="zh-CN"/>
              </w:rPr>
              <w:t>12</w:t>
            </w:r>
            <w:r>
              <w:rPr>
                <w:rFonts w:hint="eastAsia" w:ascii="Times New Roman" w:hAnsi="Times New Roman" w:eastAsia="宋体" w:cs="Times New Roman"/>
                <w:color w:val="auto"/>
                <w:sz w:val="21"/>
                <w:szCs w:val="21"/>
                <w:highlight w:val="none"/>
                <w:lang w:eastAsia="zh-CN"/>
              </w:rPr>
              <w:t>日</w:t>
            </w:r>
            <w:r>
              <w:rPr>
                <w:rFonts w:hint="eastAsia" w:ascii="Times New Roman" w:hAnsi="Times New Roman" w:eastAsia="宋体" w:cs="Times New Roman"/>
                <w:color w:val="auto"/>
                <w:sz w:val="21"/>
                <w:szCs w:val="21"/>
                <w:highlight w:val="none"/>
              </w:rPr>
              <w:t>，每天上午8:</w:t>
            </w: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0至12:00，下午</w:t>
            </w:r>
            <w:r>
              <w:rPr>
                <w:rFonts w:hint="eastAsia" w:ascii="Times New Roman" w:hAnsi="Times New Roman" w:eastAsia="宋体" w:cs="Times New Roman"/>
                <w:color w:val="auto"/>
                <w:sz w:val="21"/>
                <w:szCs w:val="21"/>
                <w:highlight w:val="none"/>
                <w:lang w:val="en-US" w:eastAsia="zh-CN"/>
              </w:rPr>
              <w:t>14</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0至</w:t>
            </w:r>
            <w:r>
              <w:rPr>
                <w:rFonts w:hint="eastAsia" w:ascii="Times New Roman" w:hAnsi="Times New Roman" w:eastAsia="宋体" w:cs="Times New Roman"/>
                <w:color w:val="auto"/>
                <w:sz w:val="21"/>
                <w:szCs w:val="21"/>
                <w:highlight w:val="none"/>
                <w:lang w:val="en-US" w:eastAsia="zh-CN"/>
              </w:rPr>
              <w:t>17</w:t>
            </w:r>
            <w:r>
              <w:rPr>
                <w:rFonts w:hint="eastAsia"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30</w:t>
            </w:r>
            <w:r>
              <w:rPr>
                <w:rFonts w:hint="eastAsia" w:ascii="Times New Roman" w:hAnsi="Times New Roman" w:eastAsia="宋体" w:cs="Times New Roman"/>
                <w:color w:val="auto"/>
                <w:sz w:val="21"/>
                <w:szCs w:val="21"/>
                <w:highlight w:val="none"/>
              </w:rPr>
              <w:t>。（北京时间，法定节假日除外）</w:t>
            </w:r>
          </w:p>
          <w:p w14:paraId="3122F60A">
            <w:pPr>
              <w:adjustRightInd w:val="0"/>
              <w:snapToGrid w:val="0"/>
              <w:spacing w:after="0" w:line="360" w:lineRule="auto"/>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2.地点：</w:t>
            </w:r>
            <w:r>
              <w:rPr>
                <w:rFonts w:hint="eastAsia" w:ascii="Times New Roman" w:hAnsi="Times New Roman" w:eastAsia="宋体" w:cs="Times New Roman"/>
                <w:color w:val="auto"/>
                <w:sz w:val="21"/>
                <w:szCs w:val="21"/>
                <w:highlight w:val="none"/>
                <w:lang w:eastAsia="zh-CN"/>
              </w:rPr>
              <w:t>福建省三明市三元区新市南路178号四层</w:t>
            </w:r>
          </w:p>
          <w:p w14:paraId="42C971AE">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3.方式：（1）直接至我</w:t>
            </w:r>
            <w:r>
              <w:rPr>
                <w:rFonts w:hint="eastAsia" w:ascii="Times New Roman" w:hAnsi="Times New Roman" w:eastAsia="宋体" w:cs="Times New Roman"/>
                <w:color w:val="auto"/>
                <w:sz w:val="21"/>
                <w:szCs w:val="21"/>
                <w:highlight w:val="none"/>
                <w:lang w:val="en-US" w:eastAsia="zh-CN"/>
              </w:rPr>
              <w:t>司</w:t>
            </w:r>
            <w:r>
              <w:rPr>
                <w:rFonts w:hint="eastAsia" w:ascii="Times New Roman" w:hAnsi="Times New Roman" w:eastAsia="宋体" w:cs="Times New Roman"/>
                <w:color w:val="auto"/>
                <w:sz w:val="21"/>
                <w:szCs w:val="21"/>
                <w:highlight w:val="none"/>
              </w:rPr>
              <w:t>办理：请填写报名表。（2）通过邮件办理：请将报名供应商相关信息（公司名称、联系人、公司电话、手机、传真、电子邮箱、公司地址、参与投标的项目名称及招标文件编号）填写清楚加盖公章发邮件至邮箱：fjsxzbsm@163.com。</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eastAsia="zh-CN"/>
              </w:rPr>
              <w:t>）未办理获取招标文件手续的不予以书面变更通知及不受理投标文件。</w:t>
            </w:r>
          </w:p>
        </w:tc>
      </w:tr>
      <w:tr w14:paraId="43867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DD91792">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14</w:t>
            </w:r>
          </w:p>
        </w:tc>
        <w:tc>
          <w:tcPr>
            <w:tcW w:w="1984" w:type="dxa"/>
            <w:noWrap w:val="0"/>
            <w:vAlign w:val="center"/>
          </w:tcPr>
          <w:p w14:paraId="4D00FA30">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现场考察/踏勘</w:t>
            </w:r>
          </w:p>
        </w:tc>
        <w:tc>
          <w:tcPr>
            <w:tcW w:w="6058" w:type="dxa"/>
            <w:gridSpan w:val="2"/>
            <w:noWrap w:val="0"/>
            <w:vAlign w:val="center"/>
          </w:tcPr>
          <w:p w14:paraId="390547FB">
            <w:pPr>
              <w:numPr>
                <w:ilvl w:val="0"/>
                <w:numId w:val="0"/>
              </w:numPr>
              <w:tabs>
                <w:tab w:val="left" w:pos="0"/>
                <w:tab w:val="left" w:pos="420"/>
              </w:tabs>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不组织现场考察/踏勘</w:t>
            </w:r>
          </w:p>
        </w:tc>
      </w:tr>
      <w:tr w14:paraId="612A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514F7B4">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w:t>
            </w:r>
          </w:p>
        </w:tc>
        <w:tc>
          <w:tcPr>
            <w:tcW w:w="1984" w:type="dxa"/>
            <w:noWrap w:val="0"/>
            <w:vAlign w:val="center"/>
          </w:tcPr>
          <w:p w14:paraId="50FE76C2">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样品</w:t>
            </w:r>
          </w:p>
        </w:tc>
        <w:tc>
          <w:tcPr>
            <w:tcW w:w="6058" w:type="dxa"/>
            <w:gridSpan w:val="2"/>
            <w:noWrap w:val="0"/>
            <w:vAlign w:val="center"/>
          </w:tcPr>
          <w:p w14:paraId="5AE0E99E">
            <w:pPr>
              <w:adjustRightInd w:val="0"/>
              <w:snapToGrid w:val="0"/>
              <w:spacing w:after="0" w:line="360" w:lineRule="auto"/>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不要求提供</w:t>
            </w:r>
          </w:p>
        </w:tc>
      </w:tr>
      <w:tr w14:paraId="315F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03DEB136">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w:t>
            </w:r>
          </w:p>
        </w:tc>
        <w:tc>
          <w:tcPr>
            <w:tcW w:w="1984" w:type="dxa"/>
            <w:vMerge w:val="restart"/>
            <w:noWrap w:val="0"/>
            <w:vAlign w:val="center"/>
          </w:tcPr>
          <w:p w14:paraId="5DE19BD8">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投标文件组成</w:t>
            </w:r>
          </w:p>
        </w:tc>
        <w:tc>
          <w:tcPr>
            <w:tcW w:w="851" w:type="dxa"/>
            <w:vMerge w:val="restart"/>
            <w:noWrap w:val="0"/>
            <w:vAlign w:val="center"/>
          </w:tcPr>
          <w:p w14:paraId="64D45983">
            <w:pPr>
              <w:topLinePunct/>
              <w:autoSpaceDE w:val="0"/>
              <w:autoSpaceDN w:val="0"/>
              <w:adjustRightInd w:val="0"/>
              <w:snapToGrid w:val="0"/>
              <w:spacing w:after="0"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商务部</w:t>
            </w:r>
            <w:r>
              <w:rPr>
                <w:rFonts w:hint="default" w:ascii="Times New Roman" w:hAnsi="Times New Roman" w:eastAsia="宋体" w:cs="Times New Roman"/>
                <w:bCs/>
                <w:color w:val="auto"/>
                <w:sz w:val="21"/>
                <w:szCs w:val="21"/>
                <w:highlight w:val="none"/>
              </w:rPr>
              <w:t>分</w:t>
            </w:r>
          </w:p>
        </w:tc>
        <w:tc>
          <w:tcPr>
            <w:tcW w:w="5207" w:type="dxa"/>
            <w:noWrap w:val="0"/>
            <w:vAlign w:val="center"/>
          </w:tcPr>
          <w:p w14:paraId="6A8DB4EA">
            <w:pPr>
              <w:widowControl/>
              <w:tabs>
                <w:tab w:val="left" w:pos="0"/>
                <w:tab w:val="left" w:pos="420"/>
              </w:tabs>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一、资格证明文件：</w:t>
            </w:r>
          </w:p>
          <w:p w14:paraId="22273F5F">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w:t>
            </w:r>
            <w:r>
              <w:rPr>
                <w:rFonts w:hint="eastAsia" w:ascii="宋体" w:hAnsi="宋体"/>
                <w:color w:val="auto"/>
                <w:sz w:val="21"/>
                <w:szCs w:val="21"/>
                <w:highlight w:val="none"/>
                <w:lang w:val="en-US" w:eastAsia="zh-CN"/>
              </w:rPr>
              <w:t>投标人符合国家有关法律规定，在中国境内（指关境内）注册的</w:t>
            </w:r>
            <w:r>
              <w:rPr>
                <w:rFonts w:hint="eastAsia" w:ascii="宋体" w:hAnsi="宋体" w:eastAsia="宋体"/>
                <w:color w:val="auto"/>
                <w:sz w:val="21"/>
                <w:szCs w:val="21"/>
                <w:highlight w:val="none"/>
                <w:lang w:val="en-US" w:eastAsia="zh-CN"/>
              </w:rPr>
              <w:t>法人或者其他组织的营业执照等证明文件</w:t>
            </w:r>
            <w:r>
              <w:rPr>
                <w:rFonts w:hint="eastAsia" w:ascii="宋体" w:hAnsi="宋体"/>
                <w:color w:val="auto"/>
                <w:sz w:val="21"/>
                <w:szCs w:val="21"/>
                <w:highlight w:val="none"/>
                <w:lang w:val="en-US" w:eastAsia="zh-CN"/>
              </w:rPr>
              <w:t>；</w:t>
            </w:r>
          </w:p>
          <w:p w14:paraId="6BB00909">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2.投标人的财务状况报告:提供经会计师事务所审计的2024年度的财务报告（包括资产负债表、利润表、现金流量表、所有者权益变动表（若有）及其附注（若有）、会计师事务所营业执照和注册会计师资格证书）或银行出具的资信证明文件等）；</w:t>
            </w:r>
          </w:p>
          <w:p w14:paraId="11A9847E">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3.投标人依法缴纳税收：投标截止时间前（不含投标截止时间的当月）已依法缴纳税收的投标人，提供投标截止时间前六个月（不含投标截止时间的当月）中任一月份的税收缴纳凭据复印件</w:t>
            </w:r>
            <w:r>
              <w:rPr>
                <w:rFonts w:hint="eastAsia" w:ascii="宋体" w:hAnsi="宋体" w:cs="宋体"/>
              </w:rPr>
              <w:t>（若为投标截止当月成立的投标人，无法提供依法缴纳税收的相关材料的，视为满足该条件）</w:t>
            </w:r>
            <w:r>
              <w:rPr>
                <w:rFonts w:hint="eastAsia" w:ascii="宋体" w:hAnsi="宋体" w:eastAsia="宋体"/>
                <w:color w:val="auto"/>
                <w:sz w:val="21"/>
                <w:szCs w:val="21"/>
                <w:highlight w:val="none"/>
                <w:lang w:val="en-US" w:eastAsia="zh-CN"/>
              </w:rPr>
              <w:t>；</w:t>
            </w:r>
          </w:p>
          <w:p w14:paraId="61403671">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4.投标人依法缴纳社会保障资金：投标截止时间前（不含投标截止时间的当月）已依法缴纳社会保障资金的投标人，提供投标截止时间前六个月（不含投标截止时间的当月）中任一月份的社会保障资金缴纳凭据复印件</w:t>
            </w:r>
            <w:r>
              <w:rPr>
                <w:rFonts w:hint="eastAsia" w:ascii="宋体" w:hAnsi="宋体" w:cs="宋体"/>
              </w:rPr>
              <w:t>（若为投标截止当月成立的投标人，无法提供缴纳社会保障资金的相关材料的，视为满足该条件）</w:t>
            </w:r>
            <w:r>
              <w:rPr>
                <w:rFonts w:hint="eastAsia" w:ascii="宋体" w:hAnsi="宋体" w:eastAsia="宋体"/>
                <w:color w:val="auto"/>
                <w:sz w:val="21"/>
                <w:szCs w:val="21"/>
                <w:highlight w:val="none"/>
                <w:lang w:val="en-US" w:eastAsia="zh-CN"/>
              </w:rPr>
              <w:t>；</w:t>
            </w:r>
          </w:p>
          <w:p w14:paraId="648F314D">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5.具备履行合同所必需的设备和专业技术能力的书面声明；</w:t>
            </w:r>
          </w:p>
          <w:p w14:paraId="51B5B1AB">
            <w:pPr>
              <w:keepNext w:val="0"/>
              <w:keepLines w:val="0"/>
              <w:pageBreakBefore w:val="0"/>
              <w:kinsoku/>
              <w:wordWrap/>
              <w:overflowPunct/>
              <w:topLinePunct w:val="0"/>
              <w:autoSpaceDE/>
              <w:autoSpaceDN/>
              <w:bidi w:val="0"/>
              <w:adjustRightInd/>
              <w:snapToGrid/>
              <w:spacing w:after="0" w:line="360" w:lineRule="auto"/>
              <w:textAlignment w:val="auto"/>
              <w:rPr>
                <w:rFonts w:hint="eastAsia" w:ascii="宋体" w:hAnsi="宋体" w:eastAsia="宋体"/>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6.参加政府采购活动前3年内在经营活动中没有重大违法记录的书面声明。</w:t>
            </w:r>
          </w:p>
          <w:p w14:paraId="361578F3">
            <w:pPr>
              <w:spacing w:line="360" w:lineRule="auto"/>
              <w:rPr>
                <w:rFonts w:hint="eastAsia" w:ascii="宋体" w:hAnsi="宋体"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7</w:t>
            </w:r>
            <w:r>
              <w:rPr>
                <w:rFonts w:hint="eastAsia" w:ascii="宋体" w:hAnsi="宋体" w:eastAsia="宋体"/>
                <w:color w:val="auto"/>
                <w:sz w:val="21"/>
                <w:szCs w:val="21"/>
                <w:highlight w:val="none"/>
              </w:rPr>
              <w:t>.落实政府采购政策需满足的资格要求：</w:t>
            </w:r>
            <w:r>
              <w:rPr>
                <w:rFonts w:hint="eastAsia" w:ascii="宋体" w:hAnsi="宋体" w:eastAsia="宋体" w:cs="Times New Roman"/>
                <w:b/>
                <w:bCs/>
                <w:color w:val="auto"/>
                <w:sz w:val="21"/>
                <w:szCs w:val="21"/>
                <w:highlight w:val="none"/>
                <w:lang w:val="en-US" w:eastAsia="zh-CN"/>
              </w:rPr>
              <w:t>①本项目合同包1、合同包2、合同包3均</w:t>
            </w:r>
            <w:r>
              <w:rPr>
                <w:rFonts w:hint="eastAsia" w:ascii="宋体" w:hAnsi="宋体" w:eastAsia="宋体" w:cs="Times New Roman"/>
                <w:b w:val="0"/>
                <w:bCs w:val="0"/>
                <w:color w:val="auto"/>
                <w:sz w:val="21"/>
                <w:szCs w:val="21"/>
                <w:highlight w:val="none"/>
                <w:lang w:val="en-US" w:eastAsia="zh-CN"/>
              </w:rPr>
              <w:t>专门面向</w:t>
            </w:r>
            <w:r>
              <w:rPr>
                <w:rFonts w:hint="eastAsia" w:ascii="宋体" w:hAnsi="宋体" w:eastAsia="宋体" w:cs="Times New Roman"/>
                <w:color w:val="auto"/>
                <w:sz w:val="21"/>
                <w:szCs w:val="21"/>
                <w:highlight w:val="none"/>
                <w:lang w:val="en-US" w:eastAsia="zh-CN"/>
              </w:rPr>
              <w:t>符合财政部、工信部文件（财库〔2020〕46号）规定的中、小、微企业，投标人须提供《中小企业声明函》（服务）。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注：享受扶持政策获得政府采购合同的，小微企业不得将合同分包给大中型企业，中型企业不得将合同分包给大型企业。采购标的对应的中小企业划分标准所属行业详见“批发业”。</w:t>
            </w:r>
          </w:p>
          <w:p w14:paraId="688658F0">
            <w:pPr>
              <w:keepNext w:val="0"/>
              <w:keepLines w:val="0"/>
              <w:pageBreakBefore w:val="0"/>
              <w:kinsoku/>
              <w:wordWrap/>
              <w:overflowPunct/>
              <w:topLinePunct w:val="0"/>
              <w:autoSpaceDE/>
              <w:autoSpaceDN/>
              <w:bidi w:val="0"/>
              <w:adjustRightInd/>
              <w:snapToGrid/>
              <w:spacing w:after="0" w:line="360" w:lineRule="auto"/>
              <w:textAlignment w:val="auto"/>
              <w:rPr>
                <w:rFonts w:hint="default" w:ascii="宋体" w:hAnsi="宋体"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w:t>
            </w:r>
            <w:r>
              <w:rPr>
                <w:rFonts w:hint="eastAsia" w:ascii="宋体" w:hAnsi="宋体" w:eastAsia="宋体"/>
                <w:color w:val="auto"/>
                <w:sz w:val="21"/>
                <w:szCs w:val="21"/>
                <w:highlight w:val="none"/>
                <w:lang w:val="en-US" w:eastAsia="zh-CN"/>
              </w:rPr>
              <w:t>8</w:t>
            </w:r>
            <w:r>
              <w:rPr>
                <w:rFonts w:hint="eastAsia" w:ascii="宋体" w:hAnsi="宋体" w:eastAsia="宋体"/>
                <w:color w:val="auto"/>
                <w:sz w:val="21"/>
                <w:szCs w:val="21"/>
                <w:highlight w:val="none"/>
              </w:rPr>
              <w:t>.本项目的特定资格要求：</w:t>
            </w:r>
            <w:r>
              <w:rPr>
                <w:rFonts w:hint="eastAsia" w:ascii="宋体" w:hAnsi="宋体" w:eastAsia="宋体" w:cs="Times New Roman"/>
                <w:color w:val="auto"/>
                <w:sz w:val="21"/>
                <w:szCs w:val="21"/>
                <w:highlight w:val="none"/>
                <w:lang w:val="en-US" w:eastAsia="zh-CN"/>
              </w:rPr>
              <w:t>投标人具有食品经营许可证（须提供该证件的复印件并加盖单位公章，证件须在有效期内）。如因国家政策调整，国家有关行政部门有颁发新的食品方面许可证书的，应从其规定。</w:t>
            </w:r>
          </w:p>
          <w:p w14:paraId="3426FF39">
            <w:pPr>
              <w:widowControl/>
              <w:tabs>
                <w:tab w:val="left" w:pos="0"/>
                <w:tab w:val="left" w:pos="220"/>
              </w:tabs>
              <w:adjustRightInd w:val="0"/>
              <w:snapToGrid w:val="0"/>
              <w:spacing w:after="0" w:line="360" w:lineRule="auto"/>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u w:val="none"/>
                <w:lang w:val="en-US" w:eastAsia="zh-CN"/>
              </w:rPr>
              <w:t>9.本项目（不接受）联合体投标。</w:t>
            </w:r>
          </w:p>
        </w:tc>
      </w:tr>
      <w:tr w14:paraId="64F5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2C97F068">
            <w:pPr>
              <w:adjustRightInd w:val="0"/>
              <w:snapToGrid w:val="0"/>
              <w:spacing w:after="0" w:line="360" w:lineRule="auto"/>
              <w:jc w:val="center"/>
              <w:rPr>
                <w:rFonts w:hint="default" w:ascii="Times New Roman" w:hAnsi="Times New Roman" w:eastAsia="宋体" w:cs="Times New Roman"/>
                <w:b/>
                <w:color w:val="auto"/>
                <w:sz w:val="21"/>
                <w:szCs w:val="21"/>
                <w:highlight w:val="none"/>
              </w:rPr>
            </w:pPr>
          </w:p>
        </w:tc>
        <w:tc>
          <w:tcPr>
            <w:tcW w:w="1984" w:type="dxa"/>
            <w:vMerge w:val="continue"/>
            <w:noWrap w:val="0"/>
            <w:vAlign w:val="center"/>
          </w:tcPr>
          <w:p w14:paraId="00C3B157">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p>
        </w:tc>
        <w:tc>
          <w:tcPr>
            <w:tcW w:w="851" w:type="dxa"/>
            <w:vMerge w:val="continue"/>
            <w:noWrap w:val="0"/>
            <w:vAlign w:val="center"/>
          </w:tcPr>
          <w:p w14:paraId="5C8615A9">
            <w:pPr>
              <w:topLinePunct/>
              <w:autoSpaceDE w:val="0"/>
              <w:autoSpaceDN w:val="0"/>
              <w:adjustRightInd w:val="0"/>
              <w:snapToGrid w:val="0"/>
              <w:spacing w:after="0" w:line="360" w:lineRule="auto"/>
              <w:rPr>
                <w:rFonts w:hint="default" w:ascii="Times New Roman" w:hAnsi="Times New Roman" w:eastAsia="宋体" w:cs="Times New Roman"/>
                <w:b/>
                <w:bCs/>
                <w:color w:val="auto"/>
                <w:sz w:val="21"/>
                <w:szCs w:val="21"/>
                <w:highlight w:val="none"/>
              </w:rPr>
            </w:pPr>
          </w:p>
        </w:tc>
        <w:tc>
          <w:tcPr>
            <w:tcW w:w="5207" w:type="dxa"/>
            <w:noWrap w:val="0"/>
            <w:vAlign w:val="center"/>
          </w:tcPr>
          <w:p w14:paraId="4FCCB1BA">
            <w:pPr>
              <w:adjustRightInd w:val="0"/>
              <w:snapToGrid w:val="0"/>
              <w:spacing w:after="0" w:line="360" w:lineRule="auto"/>
              <w:jc w:val="left"/>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二、</w:t>
            </w:r>
            <w:r>
              <w:rPr>
                <w:rFonts w:hint="default" w:ascii="Times New Roman" w:hAnsi="Times New Roman" w:eastAsia="宋体" w:cs="Times New Roman"/>
                <w:b/>
                <w:color w:val="auto"/>
                <w:sz w:val="21"/>
                <w:szCs w:val="21"/>
                <w:highlight w:val="none"/>
              </w:rPr>
              <w:t>开标一览表</w:t>
            </w:r>
            <w:r>
              <w:rPr>
                <w:rFonts w:hint="default" w:ascii="Times New Roman" w:hAnsi="Times New Roman" w:eastAsia="宋体" w:cs="Times New Roman"/>
                <w:b/>
                <w:bCs/>
                <w:color w:val="auto"/>
                <w:sz w:val="21"/>
                <w:szCs w:val="21"/>
                <w:highlight w:val="none"/>
              </w:rPr>
              <w:t>：</w:t>
            </w:r>
          </w:p>
          <w:p w14:paraId="18A69CE1">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1.★投标报价表</w:t>
            </w:r>
          </w:p>
        </w:tc>
      </w:tr>
      <w:tr w14:paraId="2DDC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28BCE7F2">
            <w:pPr>
              <w:adjustRightInd w:val="0"/>
              <w:snapToGrid w:val="0"/>
              <w:spacing w:after="0" w:line="360" w:lineRule="auto"/>
              <w:jc w:val="center"/>
              <w:rPr>
                <w:rFonts w:hint="default" w:ascii="Times New Roman" w:hAnsi="Times New Roman" w:eastAsia="宋体" w:cs="Times New Roman"/>
                <w:b/>
                <w:color w:val="auto"/>
                <w:sz w:val="21"/>
                <w:szCs w:val="21"/>
                <w:highlight w:val="none"/>
              </w:rPr>
            </w:pPr>
          </w:p>
        </w:tc>
        <w:tc>
          <w:tcPr>
            <w:tcW w:w="1984" w:type="dxa"/>
            <w:vMerge w:val="continue"/>
            <w:noWrap w:val="0"/>
            <w:vAlign w:val="center"/>
          </w:tcPr>
          <w:p w14:paraId="6E79DA00">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p>
        </w:tc>
        <w:tc>
          <w:tcPr>
            <w:tcW w:w="851" w:type="dxa"/>
            <w:vMerge w:val="continue"/>
            <w:noWrap w:val="0"/>
            <w:vAlign w:val="center"/>
          </w:tcPr>
          <w:p w14:paraId="1AA41A3B">
            <w:pPr>
              <w:topLinePunct/>
              <w:autoSpaceDE w:val="0"/>
              <w:autoSpaceDN w:val="0"/>
              <w:adjustRightInd w:val="0"/>
              <w:snapToGrid w:val="0"/>
              <w:spacing w:after="0" w:line="360" w:lineRule="auto"/>
              <w:rPr>
                <w:rFonts w:hint="default" w:ascii="Times New Roman" w:hAnsi="Times New Roman" w:eastAsia="宋体" w:cs="Times New Roman"/>
                <w:b/>
                <w:bCs/>
                <w:color w:val="auto"/>
                <w:sz w:val="21"/>
                <w:szCs w:val="21"/>
                <w:highlight w:val="none"/>
              </w:rPr>
            </w:pPr>
          </w:p>
        </w:tc>
        <w:tc>
          <w:tcPr>
            <w:tcW w:w="5207" w:type="dxa"/>
            <w:noWrap w:val="0"/>
            <w:vAlign w:val="center"/>
          </w:tcPr>
          <w:p w14:paraId="6AD7F368">
            <w:pPr>
              <w:widowControl/>
              <w:shd w:val="clear" w:color="auto" w:fill="FFFFFF"/>
              <w:tabs>
                <w:tab w:val="left" w:pos="475"/>
                <w:tab w:val="left" w:pos="617"/>
              </w:tabs>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rPr>
              <w:t>三、其他文件及资料：</w:t>
            </w:r>
          </w:p>
          <w:p w14:paraId="22A8E7D4">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1.★授权委托书（</w:t>
            </w:r>
            <w:r>
              <w:rPr>
                <w:rFonts w:hint="default" w:ascii="Times New Roman" w:hAnsi="Times New Roman" w:eastAsia="宋体" w:cs="Times New Roman"/>
                <w:i/>
                <w:color w:val="auto"/>
                <w:sz w:val="21"/>
                <w:szCs w:val="21"/>
                <w:highlight w:val="none"/>
              </w:rPr>
              <w:t>参考投标文件格式1</w:t>
            </w:r>
            <w:r>
              <w:rPr>
                <w:rFonts w:hint="default" w:ascii="Times New Roman" w:hAnsi="Times New Roman" w:eastAsia="宋体" w:cs="Times New Roman"/>
                <w:color w:val="auto"/>
                <w:sz w:val="21"/>
                <w:szCs w:val="21"/>
                <w:highlight w:val="none"/>
              </w:rPr>
              <w:t>）；</w:t>
            </w:r>
          </w:p>
          <w:p w14:paraId="45A50282">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2.★投标函（</w:t>
            </w:r>
            <w:r>
              <w:rPr>
                <w:rFonts w:hint="default" w:ascii="Times New Roman" w:hAnsi="Times New Roman" w:eastAsia="宋体" w:cs="Times New Roman"/>
                <w:i/>
                <w:color w:val="auto"/>
                <w:sz w:val="21"/>
                <w:szCs w:val="21"/>
                <w:highlight w:val="none"/>
              </w:rPr>
              <w:t>参考投标文件格式2</w:t>
            </w:r>
            <w:r>
              <w:rPr>
                <w:rFonts w:hint="default" w:ascii="Times New Roman" w:hAnsi="Times New Roman" w:eastAsia="宋体" w:cs="Times New Roman"/>
                <w:color w:val="auto"/>
                <w:sz w:val="21"/>
                <w:szCs w:val="21"/>
                <w:highlight w:val="none"/>
              </w:rPr>
              <w:t>）；</w:t>
            </w:r>
          </w:p>
          <w:p w14:paraId="1917B72C">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3.商务条款偏离表；</w:t>
            </w:r>
          </w:p>
          <w:p w14:paraId="2904F93D">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4.中小企业声明函（中小企业投标的，应按照《政府采购促进中小企业发展管理办法》（财库﹝2020﹞46 号印发）《关于印发中小企业划型标准规定的通知》 （工信部联企业〔2011〕300号）如实填写并提交此函）；</w:t>
            </w:r>
          </w:p>
          <w:p w14:paraId="09244FF4">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5.监狱企业证明文件[监狱企业投标的，应提交省级以上监狱管理局、戒毒管理局（含新疆生产建设兵团）出具的证明文件]；</w:t>
            </w:r>
          </w:p>
          <w:p w14:paraId="12C0F648">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6.残疾人福利性单位声明函（残疾人福利性单位投标的，应提交此函）；</w:t>
            </w:r>
          </w:p>
          <w:p w14:paraId="52E6BF32">
            <w:pPr>
              <w:adjustRightInd w:val="0"/>
              <w:snapToGrid w:val="0"/>
              <w:spacing w:after="0" w:line="360" w:lineRule="auto"/>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7.投标人认为需要提供的其它说明和资料；</w:t>
            </w:r>
          </w:p>
        </w:tc>
      </w:tr>
      <w:tr w14:paraId="5753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39AA71C8">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1984" w:type="dxa"/>
            <w:vMerge w:val="continue"/>
            <w:noWrap w:val="0"/>
            <w:vAlign w:val="center"/>
          </w:tcPr>
          <w:p w14:paraId="3B7D9F3B">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851" w:type="dxa"/>
            <w:noWrap w:val="0"/>
            <w:vAlign w:val="center"/>
          </w:tcPr>
          <w:p w14:paraId="35E0A801">
            <w:pPr>
              <w:topLinePunct/>
              <w:autoSpaceDE w:val="0"/>
              <w:autoSpaceDN w:val="0"/>
              <w:adjustRightInd w:val="0"/>
              <w:snapToGrid w:val="0"/>
              <w:spacing w:after="0" w:line="360" w:lineRule="auto"/>
              <w:jc w:val="center"/>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技术部分</w:t>
            </w:r>
          </w:p>
        </w:tc>
        <w:tc>
          <w:tcPr>
            <w:tcW w:w="5207" w:type="dxa"/>
            <w:noWrap w:val="0"/>
            <w:vAlign w:val="center"/>
          </w:tcPr>
          <w:p w14:paraId="160BFFC8">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1.技术条款偏离表；</w:t>
            </w:r>
          </w:p>
          <w:p w14:paraId="2BD89B16">
            <w:pPr>
              <w:adjustRightInd w:val="0"/>
              <w:snapToGrid w:val="0"/>
              <w:spacing w:after="0" w:line="360" w:lineRule="auto"/>
              <w:jc w:val="left"/>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2.XXX服务方案；</w:t>
            </w:r>
          </w:p>
          <w:p w14:paraId="14463B89">
            <w:pPr>
              <w:adjustRightInd w:val="0"/>
              <w:snapToGrid w:val="0"/>
              <w:spacing w:after="0" w:line="360" w:lineRule="auto"/>
              <w:jc w:val="left"/>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3.投标人认为需要提供的其它说明和资料；</w:t>
            </w:r>
          </w:p>
        </w:tc>
      </w:tr>
      <w:tr w14:paraId="1460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3B791ECF">
            <w:pPr>
              <w:adjustRightInd w:val="0"/>
              <w:snapToGrid w:val="0"/>
              <w:spacing w:after="0" w:line="360" w:lineRule="auto"/>
              <w:jc w:val="center"/>
              <w:rPr>
                <w:rFonts w:hint="default" w:ascii="Times New Roman" w:hAnsi="Times New Roman" w:eastAsia="宋体" w:cs="Times New Roman"/>
                <w:b/>
                <w:color w:val="auto"/>
                <w:sz w:val="21"/>
                <w:szCs w:val="21"/>
                <w:highlight w:val="none"/>
              </w:rPr>
            </w:pPr>
          </w:p>
        </w:tc>
        <w:tc>
          <w:tcPr>
            <w:tcW w:w="1984" w:type="dxa"/>
            <w:vMerge w:val="continue"/>
            <w:noWrap w:val="0"/>
            <w:vAlign w:val="center"/>
          </w:tcPr>
          <w:p w14:paraId="688BB722">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p>
        </w:tc>
        <w:tc>
          <w:tcPr>
            <w:tcW w:w="6058" w:type="dxa"/>
            <w:gridSpan w:val="2"/>
            <w:noWrap w:val="0"/>
            <w:vAlign w:val="center"/>
          </w:tcPr>
          <w:p w14:paraId="2DAB2DDB">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以上带★的文件及资料未提供或提供的无效，则投标无效。</w:t>
            </w:r>
          </w:p>
        </w:tc>
      </w:tr>
      <w:tr w14:paraId="040D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D82485F">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w:t>
            </w:r>
          </w:p>
        </w:tc>
        <w:tc>
          <w:tcPr>
            <w:tcW w:w="1984" w:type="dxa"/>
            <w:noWrap w:val="0"/>
            <w:vAlign w:val="center"/>
          </w:tcPr>
          <w:p w14:paraId="0E488436">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投标有效期</w:t>
            </w:r>
          </w:p>
        </w:tc>
        <w:tc>
          <w:tcPr>
            <w:tcW w:w="6058" w:type="dxa"/>
            <w:gridSpan w:val="2"/>
            <w:noWrap w:val="0"/>
            <w:vAlign w:val="center"/>
          </w:tcPr>
          <w:p w14:paraId="589983DA">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从提交投标文件的截止之日起计算</w:t>
            </w:r>
            <w:r>
              <w:rPr>
                <w:rFonts w:hint="eastAsia" w:ascii="Times New Roman" w:hAnsi="Times New Roman" w:cs="Times New Roman"/>
                <w:color w:val="auto"/>
                <w:sz w:val="21"/>
                <w:szCs w:val="21"/>
                <w:highlight w:val="none"/>
                <w:u w:val="single"/>
                <w:lang w:val="en-US" w:eastAsia="zh-CN"/>
              </w:rPr>
              <w:t>90</w:t>
            </w:r>
            <w:r>
              <w:rPr>
                <w:rFonts w:hint="default" w:ascii="Times New Roman" w:hAnsi="Times New Roman" w:eastAsia="宋体" w:cs="Times New Roman"/>
                <w:color w:val="auto"/>
                <w:sz w:val="21"/>
                <w:szCs w:val="21"/>
                <w:highlight w:val="none"/>
              </w:rPr>
              <w:t>日历日。</w:t>
            </w:r>
          </w:p>
        </w:tc>
      </w:tr>
      <w:tr w14:paraId="411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9BFA35C">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w:t>
            </w:r>
          </w:p>
        </w:tc>
        <w:tc>
          <w:tcPr>
            <w:tcW w:w="1984" w:type="dxa"/>
            <w:noWrap w:val="0"/>
            <w:vAlign w:val="center"/>
          </w:tcPr>
          <w:p w14:paraId="2FB80DB7">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提交投标文件方式、截止时间、开标时间、地点</w:t>
            </w:r>
          </w:p>
        </w:tc>
        <w:tc>
          <w:tcPr>
            <w:tcW w:w="6058" w:type="dxa"/>
            <w:gridSpan w:val="2"/>
            <w:noWrap w:val="0"/>
            <w:vAlign w:val="center"/>
          </w:tcPr>
          <w:p w14:paraId="7C345D7F">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提交方式：（</w:t>
            </w:r>
            <w:r>
              <w:rPr>
                <w:rFonts w:hint="default" w:ascii="Times New Roman" w:hAnsi="Times New Roman" w:eastAsia="宋体" w:cs="Times New Roman"/>
                <w:color w:val="auto"/>
                <w:sz w:val="21"/>
                <w:szCs w:val="21"/>
                <w:highlight w:val="none"/>
                <w:u w:val="single"/>
              </w:rPr>
              <w:t>纸质文件提交）</w:t>
            </w:r>
          </w:p>
          <w:p w14:paraId="4EC94115">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投标截止时间和开标时间：</w:t>
            </w:r>
            <w:r>
              <w:rPr>
                <w:rFonts w:hint="eastAsia" w:ascii="Times New Roman" w:hAnsi="Times New Roman" w:cs="Times New Roman"/>
                <w:color w:val="auto"/>
                <w:sz w:val="21"/>
                <w:szCs w:val="21"/>
                <w:highlight w:val="none"/>
                <w:u w:val="single"/>
                <w:lang w:val="en-US" w:eastAsia="zh-CN"/>
              </w:rPr>
              <w:t>2025</w:t>
            </w:r>
            <w:r>
              <w:rPr>
                <w:rFonts w:hint="default" w:ascii="Times New Roman" w:hAnsi="Times New Roman" w:eastAsia="宋体" w:cs="Times New Roman"/>
                <w:bCs/>
                <w:color w:val="auto"/>
                <w:sz w:val="21"/>
                <w:szCs w:val="21"/>
                <w:highlight w:val="none"/>
              </w:rPr>
              <w:t>年</w:t>
            </w:r>
            <w:r>
              <w:rPr>
                <w:rFonts w:hint="eastAsia" w:ascii="Times New Roman" w:hAnsi="Times New Roman" w:cs="Times New Roman"/>
                <w:color w:val="auto"/>
                <w:sz w:val="21"/>
                <w:szCs w:val="21"/>
                <w:highlight w:val="none"/>
                <w:u w:val="single"/>
                <w:lang w:val="en-US" w:eastAsia="zh-CN"/>
              </w:rPr>
              <w:t>05</w:t>
            </w:r>
            <w:r>
              <w:rPr>
                <w:rFonts w:hint="default" w:ascii="Times New Roman" w:hAnsi="Times New Roman" w:eastAsia="宋体" w:cs="Times New Roman"/>
                <w:bCs/>
                <w:color w:val="auto"/>
                <w:sz w:val="21"/>
                <w:szCs w:val="21"/>
                <w:highlight w:val="none"/>
              </w:rPr>
              <w:t>月</w:t>
            </w:r>
            <w:r>
              <w:rPr>
                <w:rFonts w:hint="eastAsia" w:ascii="Times New Roman" w:hAnsi="Times New Roman" w:cs="Times New Roman"/>
                <w:color w:val="auto"/>
                <w:sz w:val="21"/>
                <w:szCs w:val="21"/>
                <w:highlight w:val="none"/>
                <w:u w:val="single"/>
                <w:lang w:val="en-US" w:eastAsia="zh-CN"/>
              </w:rPr>
              <w:t>27</w:t>
            </w:r>
            <w:r>
              <w:rPr>
                <w:rFonts w:hint="default" w:ascii="Times New Roman" w:hAnsi="Times New Roman" w:eastAsia="宋体" w:cs="Times New Roman"/>
                <w:bCs/>
                <w:color w:val="auto"/>
                <w:sz w:val="21"/>
                <w:szCs w:val="21"/>
                <w:highlight w:val="none"/>
              </w:rPr>
              <w:t>日</w:t>
            </w:r>
            <w:r>
              <w:rPr>
                <w:rFonts w:hint="eastAsia" w:ascii="Times New Roman" w:hAnsi="Times New Roman" w:cs="Times New Roman"/>
                <w:color w:val="auto"/>
                <w:sz w:val="21"/>
                <w:szCs w:val="21"/>
                <w:highlight w:val="none"/>
                <w:u w:val="single"/>
                <w:lang w:val="en-US" w:eastAsia="zh-CN"/>
              </w:rPr>
              <w:t>上</w:t>
            </w:r>
            <w:r>
              <w:rPr>
                <w:rFonts w:hint="default" w:ascii="Times New Roman" w:hAnsi="Times New Roman" w:eastAsia="宋体" w:cs="Times New Roman"/>
                <w:bCs/>
                <w:color w:val="auto"/>
                <w:sz w:val="21"/>
                <w:szCs w:val="21"/>
                <w:highlight w:val="none"/>
              </w:rPr>
              <w:t>午</w:t>
            </w:r>
            <w:r>
              <w:rPr>
                <w:rFonts w:hint="eastAsia" w:ascii="Times New Roman" w:hAnsi="Times New Roman" w:cs="Times New Roman"/>
                <w:color w:val="auto"/>
                <w:sz w:val="21"/>
                <w:szCs w:val="21"/>
                <w:highlight w:val="none"/>
                <w:u w:val="single"/>
                <w:lang w:val="en-US" w:eastAsia="zh-CN"/>
              </w:rPr>
              <w:t>9:00</w:t>
            </w:r>
            <w:r>
              <w:rPr>
                <w:rFonts w:hint="default" w:ascii="Times New Roman" w:hAnsi="Times New Roman" w:eastAsia="宋体" w:cs="Times New Roman"/>
                <w:color w:val="auto"/>
                <w:sz w:val="21"/>
                <w:szCs w:val="21"/>
                <w:highlight w:val="none"/>
              </w:rPr>
              <w:t>（北京时间）</w:t>
            </w:r>
          </w:p>
          <w:p w14:paraId="2EEDFFE1">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开标方式：（</w:t>
            </w:r>
            <w:r>
              <w:rPr>
                <w:rFonts w:hint="default" w:ascii="Times New Roman" w:hAnsi="Times New Roman" w:eastAsia="宋体" w:cs="Times New Roman"/>
                <w:color w:val="auto"/>
                <w:sz w:val="21"/>
                <w:szCs w:val="21"/>
                <w:highlight w:val="none"/>
                <w:u w:val="single"/>
              </w:rPr>
              <w:t>线下开标）</w:t>
            </w:r>
          </w:p>
          <w:p w14:paraId="4E29796A">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b/>
                <w:color w:val="auto"/>
                <w:sz w:val="21"/>
                <w:szCs w:val="21"/>
                <w:highlight w:val="none"/>
              </w:rPr>
              <w:t>提交投标文件地点：</w:t>
            </w:r>
            <w:r>
              <w:rPr>
                <w:rFonts w:hint="eastAsia" w:ascii="Times New Roman" w:hAnsi="Times New Roman" w:eastAsia="宋体" w:cs="Times New Roman"/>
                <w:color w:val="auto"/>
                <w:sz w:val="21"/>
                <w:szCs w:val="21"/>
                <w:highlight w:val="none"/>
                <w:u w:val="single"/>
                <w:lang w:eastAsia="zh-CN"/>
              </w:rPr>
              <w:t>福建省三明市三元区新市南路178号四层</w:t>
            </w:r>
            <w:r>
              <w:rPr>
                <w:rFonts w:hint="eastAsia" w:ascii="Times New Roman" w:hAnsi="Times New Roman" w:eastAsia="宋体" w:cs="Times New Roman"/>
                <w:color w:val="auto"/>
                <w:sz w:val="21"/>
                <w:szCs w:val="21"/>
                <w:highlight w:val="none"/>
                <w:u w:val="single"/>
              </w:rPr>
              <w:t>开标室</w:t>
            </w:r>
          </w:p>
          <w:p w14:paraId="7B02797E">
            <w:pPr>
              <w:topLinePunct/>
              <w:autoSpaceDE w:val="0"/>
              <w:autoSpaceDN w:val="0"/>
              <w:adjustRightInd w:val="0"/>
              <w:snapToGrid w:val="0"/>
              <w:spacing w:after="0"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开标地点：</w:t>
            </w:r>
            <w:r>
              <w:rPr>
                <w:rFonts w:hint="eastAsia" w:ascii="Times New Roman" w:hAnsi="Times New Roman" w:eastAsia="宋体" w:cs="Times New Roman"/>
                <w:color w:val="auto"/>
                <w:sz w:val="21"/>
                <w:szCs w:val="21"/>
                <w:highlight w:val="none"/>
                <w:u w:val="single"/>
                <w:lang w:eastAsia="zh-CN"/>
              </w:rPr>
              <w:t>福建省三明市三元区新市南路178号四层</w:t>
            </w:r>
            <w:r>
              <w:rPr>
                <w:rFonts w:hint="eastAsia" w:ascii="Times New Roman" w:hAnsi="Times New Roman" w:eastAsia="宋体" w:cs="Times New Roman"/>
                <w:color w:val="auto"/>
                <w:sz w:val="21"/>
                <w:szCs w:val="21"/>
                <w:highlight w:val="none"/>
                <w:u w:val="single"/>
              </w:rPr>
              <w:t>开标室</w:t>
            </w:r>
          </w:p>
          <w:p w14:paraId="619D74FB">
            <w:pPr>
              <w:topLinePunct/>
              <w:autoSpaceDE w:val="0"/>
              <w:autoSpaceDN w:val="0"/>
              <w:adjustRightInd w:val="0"/>
              <w:snapToGrid w:val="0"/>
              <w:spacing w:after="0"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联系电话：</w:t>
            </w:r>
            <w:r>
              <w:rPr>
                <w:rFonts w:hint="default" w:ascii="Times New Roman" w:hAnsi="Times New Roman" w:eastAsia="宋体" w:cs="Times New Roman"/>
                <w:b w:val="0"/>
                <w:bCs/>
                <w:color w:val="auto"/>
                <w:sz w:val="21"/>
                <w:szCs w:val="21"/>
                <w:highlight w:val="none"/>
                <w:u w:val="single"/>
              </w:rPr>
              <w:t xml:space="preserve"> </w:t>
            </w:r>
            <w:r>
              <w:rPr>
                <w:rFonts w:hint="eastAsia" w:ascii="Times New Roman" w:hAnsi="Times New Roman" w:cs="Times New Roman"/>
                <w:b w:val="0"/>
                <w:bCs/>
                <w:color w:val="auto"/>
                <w:sz w:val="21"/>
                <w:szCs w:val="21"/>
                <w:highlight w:val="none"/>
                <w:u w:val="single"/>
                <w:lang w:val="en-US" w:eastAsia="zh-CN"/>
              </w:rPr>
              <w:t>0598-8319711</w:t>
            </w:r>
            <w:r>
              <w:rPr>
                <w:rFonts w:hint="default" w:ascii="Times New Roman" w:hAnsi="Times New Roman" w:eastAsia="宋体" w:cs="Times New Roman"/>
                <w:b/>
                <w:color w:val="auto"/>
                <w:sz w:val="21"/>
                <w:szCs w:val="21"/>
                <w:highlight w:val="none"/>
                <w:u w:val="single"/>
              </w:rPr>
              <w:t xml:space="preserve"> </w:t>
            </w:r>
          </w:p>
        </w:tc>
      </w:tr>
      <w:tr w14:paraId="761B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319FF00">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19</w:t>
            </w:r>
          </w:p>
        </w:tc>
        <w:tc>
          <w:tcPr>
            <w:tcW w:w="1984" w:type="dxa"/>
            <w:noWrap w:val="0"/>
            <w:vAlign w:val="center"/>
          </w:tcPr>
          <w:p w14:paraId="0D78CD87">
            <w:pPr>
              <w:tabs>
                <w:tab w:val="left" w:pos="1875"/>
              </w:tabs>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投标保证金</w:t>
            </w:r>
          </w:p>
        </w:tc>
        <w:tc>
          <w:tcPr>
            <w:tcW w:w="6058" w:type="dxa"/>
            <w:gridSpan w:val="2"/>
            <w:noWrap w:val="0"/>
            <w:vAlign w:val="center"/>
          </w:tcPr>
          <w:p w14:paraId="75C6BE40">
            <w:pPr>
              <w:topLinePunct/>
              <w:autoSpaceDE w:val="0"/>
              <w:autoSpaceDN w:val="0"/>
              <w:adjustRightInd w:val="0"/>
              <w:snapToGrid w:val="0"/>
              <w:spacing w:after="0" w:line="360" w:lineRule="auto"/>
              <w:rPr>
                <w:rFonts w:hint="default" w:ascii="Times New Roman" w:hAnsi="Times New Roman" w:eastAsia="宋体" w:cs="Times New Roman"/>
                <w:snapToGrid w:val="0"/>
                <w:color w:val="auto"/>
                <w:sz w:val="21"/>
                <w:szCs w:val="21"/>
                <w:highlight w:val="none"/>
                <w:lang w:val="zh-CN"/>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不要求提供</w:t>
            </w:r>
          </w:p>
          <w:p w14:paraId="3E704755">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F0A3"/>
            </w:r>
            <w:r>
              <w:rPr>
                <w:rFonts w:hint="default" w:ascii="Times New Roman" w:hAnsi="Times New Roman" w:eastAsia="宋体" w:cs="Times New Roman"/>
                <w:color w:val="auto"/>
                <w:sz w:val="21"/>
                <w:szCs w:val="21"/>
                <w:highlight w:val="none"/>
              </w:rPr>
              <w:t>要求提供：</w:t>
            </w:r>
          </w:p>
          <w:p w14:paraId="6BF017C7">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（1）金额：</w:t>
            </w:r>
          </w:p>
          <w:p w14:paraId="31C49AEB">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采购包1：人民币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i/>
                <w:color w:val="auto"/>
                <w:sz w:val="21"/>
                <w:szCs w:val="21"/>
                <w:highlight w:val="none"/>
                <w:u w:val="single"/>
              </w:rPr>
              <w:t xml:space="preserve">    </w:t>
            </w:r>
            <w:r>
              <w:rPr>
                <w:rFonts w:hint="eastAsia" w:ascii="Times New Roman" w:hAnsi="Times New Roman" w:cs="Times New Roman"/>
                <w:i/>
                <w:color w:val="auto"/>
                <w:sz w:val="21"/>
                <w:szCs w:val="21"/>
                <w:highlight w:val="none"/>
                <w:u w:val="single"/>
                <w:lang w:val="en-US" w:eastAsia="zh-CN"/>
              </w:rPr>
              <w:t>/</w:t>
            </w:r>
            <w:r>
              <w:rPr>
                <w:rFonts w:hint="default" w:ascii="Times New Roman" w:hAnsi="Times New Roman" w:eastAsia="宋体" w:cs="Times New Roman"/>
                <w:i/>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元。</w:t>
            </w:r>
          </w:p>
          <w:p w14:paraId="3FA35910">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（2）提交方式：</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7FF7A5A8">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收款账户：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1211CC27">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31EA1ADA">
            <w:pPr>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银行账户：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24E624DF">
            <w:pPr>
              <w:topLinePunct/>
              <w:autoSpaceDE w:val="0"/>
              <w:autoSpaceDN w:val="0"/>
              <w:adjustRightInd w:val="0"/>
              <w:snapToGrid w:val="0"/>
              <w:spacing w:after="0" w:line="360" w:lineRule="auto"/>
              <w:rPr>
                <w:rFonts w:hint="default" w:ascii="Times New Roman" w:hAnsi="Times New Roman" w:eastAsia="宋体" w:cs="Times New Roman"/>
                <w:b/>
                <w:color w:val="auto"/>
                <w:sz w:val="21"/>
                <w:szCs w:val="21"/>
                <w:highlight w:val="none"/>
              </w:rPr>
            </w:pPr>
          </w:p>
        </w:tc>
      </w:tr>
      <w:tr w14:paraId="77BB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5D015E94">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w:t>
            </w:r>
          </w:p>
        </w:tc>
        <w:tc>
          <w:tcPr>
            <w:tcW w:w="1984" w:type="dxa"/>
            <w:vMerge w:val="restart"/>
            <w:noWrap w:val="0"/>
            <w:vAlign w:val="center"/>
          </w:tcPr>
          <w:p w14:paraId="28120D18">
            <w:pPr>
              <w:tabs>
                <w:tab w:val="left" w:pos="1875"/>
              </w:tabs>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不予退还投标保证金的情形</w:t>
            </w:r>
          </w:p>
        </w:tc>
        <w:tc>
          <w:tcPr>
            <w:tcW w:w="6058" w:type="dxa"/>
            <w:gridSpan w:val="2"/>
            <w:noWrap w:val="0"/>
            <w:vAlign w:val="center"/>
          </w:tcPr>
          <w:p w14:paraId="7B25E757">
            <w:pPr>
              <w:topLinePunct/>
              <w:autoSpaceDE w:val="0"/>
              <w:autoSpaceDN w:val="0"/>
              <w:adjustRightInd w:val="0"/>
              <w:snapToGrid w:val="0"/>
              <w:spacing w:after="0"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有下列情形之一的，投标保证金将不予退还：</w:t>
            </w:r>
          </w:p>
          <w:p w14:paraId="21F73F16">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（1）投标人串通投标或有视为串通投标情形之一的；</w:t>
            </w:r>
          </w:p>
          <w:p w14:paraId="5DB88B5D">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（2）投标人提供虚假材料；</w:t>
            </w:r>
          </w:p>
          <w:p w14:paraId="37B30670">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（3）投标人采取不正当手段诋毁、排挤其他投标人；</w:t>
            </w:r>
          </w:p>
          <w:p w14:paraId="05EF82C4">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（4）投标截止时间后，投标人在投标有效期内撤销投标文件；</w:t>
            </w:r>
          </w:p>
          <w:p w14:paraId="02F2CFA8">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（5）中标人有下列情形之一的：</w:t>
            </w:r>
          </w:p>
          <w:p w14:paraId="5ADADEC3">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a.除不可抗力外，因中标人自身原因未在中标通知书要求的期限内与采购人签订政府采购合同；</w:t>
            </w:r>
          </w:p>
          <w:p w14:paraId="5236BCC3">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b.未按照招标文件、投标文件的约定签订政府采购合同或提交履约保证金。</w:t>
            </w:r>
          </w:p>
          <w:p w14:paraId="1385D02A">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注：若上述投标保证金不予退还情形给采购人（采购代理机构）造成损失，则投标人还要承担相应的赔偿责任。</w:t>
            </w:r>
          </w:p>
        </w:tc>
      </w:tr>
      <w:tr w14:paraId="0E72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228D559F">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1984" w:type="dxa"/>
            <w:vMerge w:val="continue"/>
            <w:noWrap w:val="0"/>
            <w:vAlign w:val="center"/>
          </w:tcPr>
          <w:p w14:paraId="46E5685D">
            <w:pPr>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6058" w:type="dxa"/>
            <w:gridSpan w:val="2"/>
            <w:noWrap w:val="0"/>
            <w:vAlign w:val="center"/>
          </w:tcPr>
          <w:p w14:paraId="199977E6">
            <w:pPr>
              <w:topLinePunct/>
              <w:autoSpaceDE w:val="0"/>
              <w:autoSpaceDN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其他不予退还投标保证金的情形：</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无</w:t>
            </w:r>
            <w:r>
              <w:rPr>
                <w:rFonts w:hint="default" w:ascii="Times New Roman" w:hAnsi="Times New Roman" w:eastAsia="宋体" w:cs="Times New Roman"/>
                <w:color w:val="auto"/>
                <w:sz w:val="21"/>
                <w:szCs w:val="21"/>
                <w:highlight w:val="none"/>
                <w:u w:val="single"/>
              </w:rPr>
              <w:t xml:space="preserve">   </w:t>
            </w:r>
          </w:p>
        </w:tc>
      </w:tr>
      <w:tr w14:paraId="3B5D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C78A4D2">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w:t>
            </w:r>
          </w:p>
        </w:tc>
        <w:tc>
          <w:tcPr>
            <w:tcW w:w="1984" w:type="dxa"/>
            <w:noWrap w:val="0"/>
            <w:vAlign w:val="center"/>
          </w:tcPr>
          <w:p w14:paraId="068B2DA8">
            <w:pPr>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信用记录审查</w:t>
            </w:r>
          </w:p>
        </w:tc>
        <w:tc>
          <w:tcPr>
            <w:tcW w:w="6058" w:type="dxa"/>
            <w:gridSpan w:val="2"/>
            <w:noWrap w:val="0"/>
            <w:vAlign w:val="center"/>
          </w:tcPr>
          <w:p w14:paraId="08DD4FEF">
            <w:pPr>
              <w:topLinePunct/>
              <w:autoSpaceDE w:val="0"/>
              <w:autoSpaceDN w:val="0"/>
              <w:spacing w:after="0" w:line="360" w:lineRule="auto"/>
              <w:rPr>
                <w:rFonts w:hint="default" w:ascii="Times New Roman" w:hAnsi="Times New Roman" w:eastAsia="宋体" w:cs="Times New Roman"/>
                <w:snapToGrid w:val="0"/>
                <w:color w:val="auto"/>
                <w:sz w:val="21"/>
                <w:szCs w:val="21"/>
                <w:highlight w:val="none"/>
              </w:rPr>
            </w:pPr>
            <w:r>
              <w:rPr>
                <w:rFonts w:hint="default" w:ascii="Times New Roman" w:hAnsi="Times New Roman" w:eastAsia="宋体" w:cs="Times New Roman"/>
                <w:color w:val="auto"/>
                <w:sz w:val="21"/>
                <w:szCs w:val="21"/>
                <w:highlight w:val="none"/>
              </w:rPr>
              <w:t>根据《财政部关于在政府采购活动中查询及使用信用记录有关问题的通知》（财库〔2016〕125号）规定，开标结束后，采购人、采购代理机构将通过“信用中国”网站（www.creditchina.gov.cn）、中国政府采购网（</w:t>
            </w:r>
            <w:r>
              <w:rPr>
                <w:rFonts w:hint="default" w:ascii="Times New Roman" w:hAnsi="Times New Roman" w:cs="Times New Roman"/>
                <w:color w:val="auto"/>
                <w:sz w:val="21"/>
                <w:szCs w:val="21"/>
                <w:highlight w:val="none"/>
              </w:rPr>
              <w:fldChar w:fldCharType="begin"/>
            </w:r>
            <w:r>
              <w:rPr>
                <w:rFonts w:hint="default" w:ascii="Times New Roman" w:hAnsi="Times New Roman" w:cs="Times New Roman"/>
                <w:color w:val="auto"/>
                <w:sz w:val="21"/>
                <w:szCs w:val="21"/>
                <w:highlight w:val="none"/>
              </w:rPr>
              <w:instrText xml:space="preserve"> HYPERLINK "http://www.ccgp.gov.cn" </w:instrText>
            </w:r>
            <w:r>
              <w:rPr>
                <w:rFonts w:hint="default" w:ascii="Times New Roman" w:hAnsi="Times New Roman"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www.ccgp.gov.cn</w:t>
            </w:r>
            <w:r>
              <w:rPr>
                <w:rFonts w:hint="default" w:ascii="Times New Roman" w:hAnsi="Times New Roman" w:eastAsia="宋体" w:cs="Times New Roman"/>
                <w:color w:val="auto"/>
                <w:sz w:val="21"/>
                <w:szCs w:val="21"/>
                <w:highlight w:val="none"/>
              </w:rPr>
              <w:fldChar w:fldCharType="end"/>
            </w:r>
            <w:r>
              <w:rPr>
                <w:rFonts w:hint="default" w:ascii="Times New Roman" w:hAnsi="Times New Roman" w:eastAsia="宋体" w:cs="Times New Roman"/>
                <w:color w:val="auto"/>
                <w:sz w:val="21"/>
                <w:szCs w:val="21"/>
                <w:highlight w:val="none"/>
              </w:rPr>
              <w:t>），对投标人截止到投标截止时间的信用记录进行审查，对列入失信被执行人、重大税收违法案件当事人名单、政府采购严重违法失信行为记录名单</w:t>
            </w:r>
            <w:r>
              <w:rPr>
                <w:rFonts w:hint="default" w:ascii="Times New Roman" w:hAnsi="Times New Roman" w:cs="Times New Roman"/>
                <w:color w:val="auto"/>
                <w:sz w:val="21"/>
                <w:szCs w:val="21"/>
                <w:highlight w:val="none"/>
              </w:rPr>
              <w:t>及其他不符合《中华人民共和国政府采购法》第二十二条规定条件</w:t>
            </w:r>
            <w:r>
              <w:rPr>
                <w:rFonts w:hint="default" w:ascii="Times New Roman" w:hAnsi="Times New Roman" w:eastAsia="宋体" w:cs="Times New Roman"/>
                <w:color w:val="auto"/>
                <w:sz w:val="21"/>
                <w:szCs w:val="21"/>
                <w:highlight w:val="none"/>
              </w:rPr>
              <w:t>的投标人，其投标将被拒绝。</w:t>
            </w:r>
          </w:p>
          <w:p w14:paraId="1C35DA62">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本次查询的信用记录仅限于本项目使用，查询结果将留存在采购档案中。</w:t>
            </w:r>
          </w:p>
          <w:p w14:paraId="4FE4D417">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在上述指定网站不能查询信用信息的投标人，应提供相关证明材料（原件加盖公章）。</w:t>
            </w:r>
          </w:p>
        </w:tc>
      </w:tr>
      <w:tr w14:paraId="0C282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7121A28D">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w:t>
            </w:r>
          </w:p>
        </w:tc>
        <w:tc>
          <w:tcPr>
            <w:tcW w:w="1984" w:type="dxa"/>
            <w:noWrap w:val="0"/>
            <w:vAlign w:val="center"/>
          </w:tcPr>
          <w:p w14:paraId="4E6EC3C1">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支持中小型</w:t>
            </w:r>
          </w:p>
          <w:p w14:paraId="12107B9C">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企业发展</w:t>
            </w:r>
          </w:p>
        </w:tc>
        <w:tc>
          <w:tcPr>
            <w:tcW w:w="6058" w:type="dxa"/>
            <w:gridSpan w:val="2"/>
            <w:noWrap w:val="0"/>
            <w:vAlign w:val="center"/>
          </w:tcPr>
          <w:p w14:paraId="514BC943">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根据《政府采购促进中小型企业发展管理办法》（财库〔2020〕46号），鼓励中小企业参加本项目采购活动。</w:t>
            </w:r>
          </w:p>
          <w:p w14:paraId="64FD1415">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在货物采购项目中，满足所有标的均由中小企业制造，即所有标的均由中小企业生产且使用该中小企业商号或者注册商标的，可享受中小企业扶持政策。</w:t>
            </w:r>
          </w:p>
          <w:p w14:paraId="3364ECD6">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在服务采购项目中，满足服务由中小企业承接，即提供服务的人员为中小企业依照《中华人民共和国劳动合同法》订立劳动合同的从业人员的，可享受中小企业扶持政策。</w:t>
            </w:r>
          </w:p>
          <w:p w14:paraId="5F179717">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p>
          <w:p w14:paraId="33E012D0">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专门面向中小企业采购项目。</w:t>
            </w:r>
          </w:p>
          <w:p w14:paraId="253E3E37">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预留份额面向中小企业采购项目（说明：</w:t>
            </w:r>
            <w:r>
              <w:rPr>
                <w:rFonts w:hint="eastAsia" w:ascii="Times New Roman" w:hAnsi="Times New Roman" w:cs="Times New Roman"/>
                <w:color w:val="auto"/>
                <w:sz w:val="21"/>
                <w:szCs w:val="21"/>
                <w:highlight w:val="none"/>
                <w:u w:val="single"/>
                <w:lang w:val="en-US" w:eastAsia="zh-CN"/>
              </w:rPr>
              <w:t>100%</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141D935A">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F0A3"/>
            </w:r>
            <w:r>
              <w:rPr>
                <w:rFonts w:hint="default" w:ascii="Times New Roman" w:hAnsi="Times New Roman" w:eastAsia="宋体" w:cs="Times New Roman"/>
                <w:color w:val="auto"/>
                <w:sz w:val="21"/>
                <w:szCs w:val="21"/>
                <w:highlight w:val="none"/>
              </w:rPr>
              <w:t>非专门面向中小企业采购项目。对小型和微型企业的投标价格给予</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%的扣除，用扣除后的价格参与评审。</w:t>
            </w:r>
          </w:p>
        </w:tc>
      </w:tr>
      <w:tr w14:paraId="2866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730B23A">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23</w:t>
            </w:r>
          </w:p>
        </w:tc>
        <w:tc>
          <w:tcPr>
            <w:tcW w:w="1984" w:type="dxa"/>
            <w:noWrap w:val="0"/>
            <w:vAlign w:val="center"/>
          </w:tcPr>
          <w:p w14:paraId="138902A0">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支持监狱企业发展</w:t>
            </w:r>
          </w:p>
        </w:tc>
        <w:tc>
          <w:tcPr>
            <w:tcW w:w="6058" w:type="dxa"/>
            <w:gridSpan w:val="2"/>
            <w:noWrap w:val="0"/>
            <w:vAlign w:val="center"/>
          </w:tcPr>
          <w:p w14:paraId="1C82DEB4">
            <w:pPr>
              <w:adjustRightInd w:val="0"/>
              <w:snapToGrid w:val="0"/>
              <w:spacing w:after="0" w:line="360" w:lineRule="auto"/>
              <w:jc w:val="left"/>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根据《关于政府采购支持监狱企业发展有关问题的通知》（财库〔2014〕68号），监狱企业视同小型、微型企业，按照</w:t>
            </w:r>
            <w:r>
              <w:rPr>
                <w:rFonts w:hint="default" w:ascii="Times New Roman" w:hAnsi="Times New Roman" w:eastAsia="宋体" w:cs="Times New Roman"/>
                <w:b/>
                <w:bCs/>
                <w:color w:val="auto"/>
                <w:sz w:val="21"/>
                <w:szCs w:val="21"/>
                <w:highlight w:val="none"/>
              </w:rPr>
              <w:t>投标人须知前附表第22项</w:t>
            </w:r>
            <w:r>
              <w:rPr>
                <w:rFonts w:hint="eastAsia" w:ascii="Times New Roman" w:hAnsi="Times New Roman" w:cs="Times New Roman"/>
                <w:color w:val="auto"/>
                <w:sz w:val="21"/>
                <w:szCs w:val="21"/>
                <w:highlight w:val="none"/>
                <w:lang w:val="en-US" w:eastAsia="zh-CN"/>
              </w:rPr>
              <w:t>视为中小微企业</w:t>
            </w:r>
            <w:r>
              <w:rPr>
                <w:rFonts w:hint="default" w:ascii="Times New Roman" w:hAnsi="Times New Roman" w:eastAsia="宋体" w:cs="Times New Roman"/>
                <w:color w:val="auto"/>
                <w:sz w:val="21"/>
                <w:szCs w:val="21"/>
                <w:highlight w:val="none"/>
              </w:rPr>
              <w:t>。</w:t>
            </w:r>
          </w:p>
        </w:tc>
      </w:tr>
      <w:tr w14:paraId="0872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514522A8">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24</w:t>
            </w:r>
          </w:p>
        </w:tc>
        <w:tc>
          <w:tcPr>
            <w:tcW w:w="1984" w:type="dxa"/>
            <w:noWrap w:val="0"/>
            <w:vAlign w:val="center"/>
          </w:tcPr>
          <w:p w14:paraId="5082CE49">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促进残疾人</w:t>
            </w:r>
          </w:p>
          <w:p w14:paraId="52BB3533">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就业</w:t>
            </w:r>
          </w:p>
        </w:tc>
        <w:tc>
          <w:tcPr>
            <w:tcW w:w="6058" w:type="dxa"/>
            <w:gridSpan w:val="2"/>
            <w:noWrap w:val="0"/>
            <w:vAlign w:val="center"/>
          </w:tcPr>
          <w:p w14:paraId="4B51B647">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根据《关于促进残疾人就业政府采购政策的通知》（财库〔2017〕141号），残疾人福利性单位视同小型、微型企业，按照</w:t>
            </w:r>
            <w:r>
              <w:rPr>
                <w:rFonts w:hint="default" w:ascii="Times New Roman" w:hAnsi="Times New Roman" w:eastAsia="宋体" w:cs="Times New Roman"/>
                <w:b/>
                <w:bCs/>
                <w:color w:val="auto"/>
                <w:sz w:val="21"/>
                <w:szCs w:val="21"/>
                <w:highlight w:val="none"/>
              </w:rPr>
              <w:t>投标人须知前附表第22项</w:t>
            </w:r>
            <w:r>
              <w:rPr>
                <w:rFonts w:hint="eastAsia" w:ascii="Times New Roman" w:hAnsi="Times New Roman" w:cs="Times New Roman"/>
                <w:color w:val="auto"/>
                <w:sz w:val="21"/>
                <w:szCs w:val="21"/>
                <w:highlight w:val="none"/>
                <w:lang w:val="en-US" w:eastAsia="zh-CN"/>
              </w:rPr>
              <w:t>视为中小微企业</w:t>
            </w:r>
            <w:r>
              <w:rPr>
                <w:rFonts w:hint="default" w:ascii="Times New Roman" w:hAnsi="Times New Roman" w:eastAsia="宋体" w:cs="Times New Roman"/>
                <w:color w:val="auto"/>
                <w:sz w:val="21"/>
                <w:szCs w:val="21"/>
                <w:highlight w:val="none"/>
              </w:rPr>
              <w:t>。</w:t>
            </w:r>
          </w:p>
        </w:tc>
      </w:tr>
      <w:tr w14:paraId="353A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39398282">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25</w:t>
            </w:r>
          </w:p>
        </w:tc>
        <w:tc>
          <w:tcPr>
            <w:tcW w:w="1984" w:type="dxa"/>
            <w:vMerge w:val="restart"/>
            <w:noWrap w:val="0"/>
            <w:vAlign w:val="center"/>
          </w:tcPr>
          <w:p w14:paraId="5B29B67D">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其他法律法规强制性规定或扶持政策</w:t>
            </w:r>
          </w:p>
        </w:tc>
        <w:tc>
          <w:tcPr>
            <w:tcW w:w="6058" w:type="dxa"/>
            <w:gridSpan w:val="2"/>
            <w:noWrap w:val="0"/>
            <w:vAlign w:val="center"/>
          </w:tcPr>
          <w:p w14:paraId="031A3C6E">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本项目中强制采购节能产品的货物名称：</w:t>
            </w:r>
          </w:p>
          <w:p w14:paraId="41E48709">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采购包2、采购包3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602D8EA7">
            <w:pPr>
              <w:topLinePunct/>
              <w:autoSpaceDE w:val="0"/>
              <w:autoSpaceDN w:val="0"/>
              <w:adjustRightInd w:val="0"/>
              <w:snapToGrid w:val="0"/>
              <w:spacing w:after="0"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注：投标人所投上述产品必须具有节能产品认证证书，并提供依据国家确定的认证机构出具的、处于有效期之内的节能产品认证证书复印件，否则投标无效。</w:t>
            </w:r>
          </w:p>
        </w:tc>
      </w:tr>
      <w:tr w14:paraId="0682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3FD8FCAB">
            <w:pPr>
              <w:topLinePunct/>
              <w:autoSpaceDE w:val="0"/>
              <w:autoSpaceDN w:val="0"/>
              <w:adjustRightInd w:val="0"/>
              <w:snapToGrid w:val="0"/>
              <w:spacing w:before="62" w:after="62" w:line="360" w:lineRule="auto"/>
              <w:jc w:val="center"/>
              <w:rPr>
                <w:rFonts w:hint="default" w:ascii="Times New Roman" w:hAnsi="Times New Roman" w:eastAsia="宋体" w:cs="Times New Roman"/>
                <w:color w:val="auto"/>
                <w:sz w:val="21"/>
                <w:szCs w:val="21"/>
                <w:highlight w:val="none"/>
              </w:rPr>
            </w:pPr>
          </w:p>
        </w:tc>
        <w:tc>
          <w:tcPr>
            <w:tcW w:w="1984" w:type="dxa"/>
            <w:vMerge w:val="continue"/>
            <w:noWrap w:val="0"/>
            <w:vAlign w:val="center"/>
          </w:tcPr>
          <w:p w14:paraId="1A75DA61">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6058" w:type="dxa"/>
            <w:gridSpan w:val="2"/>
            <w:noWrap w:val="0"/>
            <w:vAlign w:val="center"/>
          </w:tcPr>
          <w:p w14:paraId="4E9AF843">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本项目中采购信息安全产品的货物名称：</w:t>
            </w:r>
          </w:p>
          <w:p w14:paraId="659E7536">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采购包2、采购包3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p w14:paraId="612D377F">
            <w:pPr>
              <w:topLinePunct/>
              <w:autoSpaceDE w:val="0"/>
              <w:autoSpaceDN w:val="0"/>
              <w:adjustRightInd w:val="0"/>
              <w:snapToGrid w:val="0"/>
              <w:spacing w:after="0"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注：投标人所投上述产品需为国家认证的信息安全产品，并提供由中国网络安全审查技术与认证中心（原中国信息安全认证中心）按国家标准认证颁发的有效认证证书复印件，否则投标无效。</w:t>
            </w:r>
          </w:p>
        </w:tc>
      </w:tr>
      <w:tr w14:paraId="7B01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2EF2386F">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1984" w:type="dxa"/>
            <w:vMerge w:val="continue"/>
            <w:noWrap w:val="0"/>
            <w:vAlign w:val="center"/>
          </w:tcPr>
          <w:p w14:paraId="575055D6">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p>
        </w:tc>
        <w:tc>
          <w:tcPr>
            <w:tcW w:w="6058" w:type="dxa"/>
            <w:gridSpan w:val="2"/>
            <w:noWrap w:val="0"/>
            <w:vAlign w:val="center"/>
          </w:tcPr>
          <w:p w14:paraId="63783418">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其他法律法规强制性规定或扶持政策：</w:t>
            </w:r>
          </w:p>
          <w:p w14:paraId="1E878DBE">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采购包1</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采购包2、采购包3</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无</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w:t>
            </w:r>
          </w:p>
        </w:tc>
      </w:tr>
      <w:tr w14:paraId="5F30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D8CF365">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26</w:t>
            </w:r>
          </w:p>
        </w:tc>
        <w:tc>
          <w:tcPr>
            <w:tcW w:w="1984" w:type="dxa"/>
            <w:noWrap w:val="0"/>
            <w:vAlign w:val="center"/>
          </w:tcPr>
          <w:p w14:paraId="48EC4B80">
            <w:pPr>
              <w:tabs>
                <w:tab w:val="left" w:pos="1875"/>
              </w:tabs>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评标方法</w:t>
            </w:r>
          </w:p>
          <w:p w14:paraId="09373ECF">
            <w:pPr>
              <w:tabs>
                <w:tab w:val="left" w:pos="1875"/>
              </w:tabs>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及分值</w:t>
            </w:r>
          </w:p>
        </w:tc>
        <w:tc>
          <w:tcPr>
            <w:tcW w:w="6058" w:type="dxa"/>
            <w:gridSpan w:val="2"/>
            <w:noWrap w:val="0"/>
            <w:vAlign w:val="center"/>
          </w:tcPr>
          <w:p w14:paraId="2E38D00B">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F0A3"/>
            </w:r>
            <w:r>
              <w:rPr>
                <w:rFonts w:hint="default" w:ascii="Times New Roman" w:hAnsi="Times New Roman" w:eastAsia="宋体" w:cs="Times New Roman"/>
                <w:color w:val="auto"/>
                <w:sz w:val="21"/>
                <w:szCs w:val="21"/>
                <w:highlight w:val="none"/>
              </w:rPr>
              <w:t>本项目采用最低评标价法，详见招标文件商务部分第三章。</w:t>
            </w:r>
          </w:p>
          <w:p w14:paraId="5C27554B">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本项目采用综合评分法，其中价格分值为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15</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分，其他因素分值为</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85</w:t>
            </w:r>
            <w:r>
              <w:rPr>
                <w:rFonts w:hint="default" w:ascii="Times New Roman" w:hAnsi="Times New Roman" w:eastAsia="宋体" w:cs="Times New Roman"/>
                <w:color w:val="auto"/>
                <w:sz w:val="21"/>
                <w:szCs w:val="21"/>
                <w:highlight w:val="none"/>
              </w:rPr>
              <w:t>分，详见招标文件商务部分第三章。</w:t>
            </w:r>
          </w:p>
        </w:tc>
      </w:tr>
      <w:tr w14:paraId="5AC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2ECFB1D">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27</w:t>
            </w:r>
          </w:p>
        </w:tc>
        <w:tc>
          <w:tcPr>
            <w:tcW w:w="1984" w:type="dxa"/>
            <w:noWrap w:val="0"/>
            <w:vAlign w:val="center"/>
          </w:tcPr>
          <w:p w14:paraId="10A8787D">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履约保证金</w:t>
            </w:r>
          </w:p>
        </w:tc>
        <w:tc>
          <w:tcPr>
            <w:tcW w:w="6058" w:type="dxa"/>
            <w:gridSpan w:val="2"/>
            <w:noWrap w:val="0"/>
            <w:vAlign w:val="center"/>
          </w:tcPr>
          <w:p w14:paraId="3C348506">
            <w:pPr>
              <w:adjustRightInd w:val="0"/>
              <w:snapToGrid w:val="0"/>
              <w:spacing w:after="0"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52"/>
            </w:r>
            <w:r>
              <w:rPr>
                <w:rFonts w:hint="default" w:ascii="Times New Roman" w:hAnsi="Times New Roman" w:eastAsia="宋体" w:cs="Times New Roman"/>
                <w:color w:val="auto"/>
                <w:sz w:val="21"/>
                <w:szCs w:val="21"/>
                <w:highlight w:val="none"/>
              </w:rPr>
              <w:t>不要求提供</w:t>
            </w:r>
          </w:p>
          <w:p w14:paraId="2D0DB496">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sym w:font="Wingdings 2" w:char="00A3"/>
            </w:r>
            <w:r>
              <w:rPr>
                <w:rFonts w:hint="default" w:ascii="Times New Roman" w:hAnsi="Times New Roman" w:eastAsia="宋体" w:cs="Times New Roman"/>
                <w:color w:val="auto"/>
                <w:sz w:val="21"/>
                <w:szCs w:val="21"/>
                <w:highlight w:val="none"/>
              </w:rPr>
              <w:t>本采购项目履约保证金为合同金额的</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w:t>
            </w:r>
            <w:r>
              <w:rPr>
                <w:rFonts w:hint="default" w:ascii="Times New Roman" w:hAnsi="Times New Roman" w:eastAsia="宋体" w:cs="Times New Roman"/>
                <w:color w:val="auto"/>
                <w:sz w:val="21"/>
                <w:szCs w:val="21"/>
                <w:highlight w:val="none"/>
              </w:rPr>
              <w:t>，提交方式为银行电汇、金融机构或担保机构出具的保函。</w:t>
            </w:r>
          </w:p>
          <w:p w14:paraId="72EFF97C">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账户信息：</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666210B1">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收款单位：</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088C8FBF">
            <w:pPr>
              <w:topLinePunct/>
              <w:autoSpaceDE w:val="0"/>
              <w:autoSpaceDN w:val="0"/>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开户银行：</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p w14:paraId="1ECFD019">
            <w:pPr>
              <w:topLinePunct/>
              <w:autoSpaceDE w:val="0"/>
              <w:autoSpaceDN w:val="0"/>
              <w:adjustRightInd w:val="0"/>
              <w:snapToGrid w:val="0"/>
              <w:spacing w:after="0" w:line="360" w:lineRule="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银行账号：</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w:t>
            </w:r>
            <w:r>
              <w:rPr>
                <w:rFonts w:hint="default" w:ascii="Times New Roman" w:hAnsi="Times New Roman" w:eastAsia="宋体" w:cs="Times New Roman"/>
                <w:color w:val="auto"/>
                <w:sz w:val="21"/>
                <w:szCs w:val="21"/>
                <w:highlight w:val="none"/>
                <w:u w:val="single"/>
              </w:rPr>
              <w:t xml:space="preserve">     </w:t>
            </w:r>
          </w:p>
        </w:tc>
      </w:tr>
      <w:tr w14:paraId="5E15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42D21AA">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28</w:t>
            </w:r>
          </w:p>
        </w:tc>
        <w:tc>
          <w:tcPr>
            <w:tcW w:w="1984" w:type="dxa"/>
            <w:noWrap w:val="0"/>
            <w:vAlign w:val="center"/>
          </w:tcPr>
          <w:p w14:paraId="3EC26D0C">
            <w:pPr>
              <w:topLinePunct/>
              <w:autoSpaceDE w:val="0"/>
              <w:autoSpaceDN w:val="0"/>
              <w:adjustRightInd w:val="0"/>
              <w:snapToGrid w:val="0"/>
              <w:spacing w:after="0" w:line="36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接收质疑的方式、部门、电话和通讯地址</w:t>
            </w:r>
          </w:p>
        </w:tc>
        <w:tc>
          <w:tcPr>
            <w:tcW w:w="6058" w:type="dxa"/>
            <w:gridSpan w:val="2"/>
            <w:noWrap w:val="0"/>
            <w:vAlign w:val="center"/>
          </w:tcPr>
          <w:p w14:paraId="5748A76B">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质疑联系方式：</w:t>
            </w:r>
          </w:p>
          <w:p w14:paraId="47A62E1F">
            <w:pPr>
              <w:spacing w:after="0"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（1）接收质疑函的方式：</w:t>
            </w:r>
            <w:r>
              <w:rPr>
                <w:rFonts w:hint="eastAsia" w:ascii="Times New Roman" w:hAnsi="Times New Roman" w:cs="Times New Roman"/>
                <w:color w:val="auto"/>
                <w:sz w:val="21"/>
                <w:szCs w:val="21"/>
                <w:highlight w:val="none"/>
                <w:u w:val="single"/>
                <w:lang w:val="en-US" w:eastAsia="zh-CN"/>
              </w:rPr>
              <w:t>书面形式</w:t>
            </w:r>
            <w:r>
              <w:rPr>
                <w:rFonts w:hint="default" w:ascii="Times New Roman" w:hAnsi="Times New Roman" w:eastAsia="宋体" w:cs="Times New Roman"/>
                <w:color w:val="auto"/>
                <w:sz w:val="21"/>
                <w:szCs w:val="21"/>
                <w:highlight w:val="none"/>
                <w:u w:val="single"/>
              </w:rPr>
              <w:t xml:space="preserve"> </w:t>
            </w:r>
          </w:p>
          <w:p w14:paraId="41433B4D">
            <w:pPr>
              <w:spacing w:after="0" w:line="360" w:lineRule="auto"/>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（2）联系部门：</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国家税务总局三明市三元区税务局/</w:t>
            </w:r>
            <w:r>
              <w:rPr>
                <w:rFonts w:hint="eastAsia" w:ascii="Times New Roman" w:hAnsi="Times New Roman" w:cs="Times New Roman"/>
                <w:color w:val="auto"/>
                <w:sz w:val="21"/>
                <w:szCs w:val="21"/>
                <w:highlight w:val="none"/>
                <w:u w:val="single"/>
                <w:lang w:val="en-US" w:eastAsia="zh-CN"/>
              </w:rPr>
              <w:t>福建盛鑫招标代理有限公司</w:t>
            </w:r>
            <w:r>
              <w:rPr>
                <w:rFonts w:hint="default" w:ascii="Times New Roman" w:hAnsi="Times New Roman" w:eastAsia="宋体" w:cs="Times New Roman"/>
                <w:color w:val="auto"/>
                <w:sz w:val="21"/>
                <w:szCs w:val="21"/>
                <w:highlight w:val="none"/>
                <w:u w:val="single"/>
              </w:rPr>
              <w:t xml:space="preserve">                   </w:t>
            </w:r>
          </w:p>
          <w:p w14:paraId="467E78D8">
            <w:pPr>
              <w:spacing w:after="0" w:line="360" w:lineRule="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（3）联系电话：</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0598-8319711</w:t>
            </w:r>
          </w:p>
          <w:p w14:paraId="0188B824">
            <w:pPr>
              <w:spacing w:after="0" w:line="360" w:lineRule="auto"/>
              <w:rPr>
                <w:rFonts w:hint="default" w:ascii="Times New Roman" w:hAnsi="Times New Roman" w:eastAsia="宋体" w:cs="Times New Roman"/>
                <w:color w:val="auto"/>
                <w:sz w:val="21"/>
                <w:szCs w:val="21"/>
                <w:highlight w:val="none"/>
                <w:u w:val="single"/>
                <w:lang w:val="en-US" w:eastAsia="zh-CN"/>
              </w:rPr>
            </w:pPr>
            <w:r>
              <w:rPr>
                <w:rFonts w:hint="default" w:ascii="Times New Roman" w:hAnsi="Times New Roman" w:eastAsia="宋体" w:cs="Times New Roman"/>
                <w:color w:val="auto"/>
                <w:sz w:val="21"/>
                <w:szCs w:val="21"/>
                <w:highlight w:val="none"/>
              </w:rPr>
              <w:t>（4）通讯地址：</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福建省三明市三元区新市南路178号四层</w:t>
            </w:r>
            <w:r>
              <w:rPr>
                <w:rFonts w:hint="default" w:ascii="Times New Roman" w:hAnsi="Times New Roman" w:eastAsia="宋体" w:cs="Times New Roman"/>
                <w:color w:val="auto"/>
                <w:sz w:val="21"/>
                <w:szCs w:val="21"/>
                <w:highlight w:val="none"/>
                <w:u w:val="single"/>
                <w:lang w:val="en-US" w:eastAsia="zh-CN"/>
              </w:rPr>
              <w:t xml:space="preserve">  </w:t>
            </w:r>
          </w:p>
          <w:p w14:paraId="5DC422FE">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（5）电子邮箱：</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fjsxzbsm@163.com</w:t>
            </w:r>
            <w:r>
              <w:rPr>
                <w:rFonts w:hint="default" w:ascii="Times New Roman" w:hAnsi="Times New Roman" w:eastAsia="宋体" w:cs="Times New Roman"/>
                <w:color w:val="auto"/>
                <w:sz w:val="21"/>
                <w:szCs w:val="21"/>
                <w:highlight w:val="none"/>
                <w:u w:val="single"/>
              </w:rPr>
              <w:t xml:space="preserve">  </w:t>
            </w:r>
          </w:p>
        </w:tc>
      </w:tr>
      <w:tr w14:paraId="470D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DE75F0C">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29</w:t>
            </w:r>
          </w:p>
        </w:tc>
        <w:tc>
          <w:tcPr>
            <w:tcW w:w="1984" w:type="dxa"/>
            <w:noWrap w:val="0"/>
            <w:vAlign w:val="center"/>
          </w:tcPr>
          <w:p w14:paraId="0179DC94">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需提交的投标文件份数</w:t>
            </w:r>
          </w:p>
        </w:tc>
        <w:tc>
          <w:tcPr>
            <w:tcW w:w="6058" w:type="dxa"/>
            <w:gridSpan w:val="2"/>
            <w:noWrap w:val="0"/>
            <w:vAlign w:val="center"/>
          </w:tcPr>
          <w:p w14:paraId="75DCE9C4">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需提交的投标文件份数：</w:t>
            </w:r>
          </w:p>
          <w:p w14:paraId="69045770">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（1）正本</w:t>
            </w:r>
            <w:r>
              <w:rPr>
                <w:rFonts w:hint="default" w:ascii="Times New Roman" w:hAnsi="Times New Roman" w:eastAsia="宋体" w:cs="Times New Roman"/>
                <w:color w:val="auto"/>
                <w:sz w:val="21"/>
                <w:szCs w:val="21"/>
                <w:highlight w:val="none"/>
                <w:u w:val="single"/>
              </w:rPr>
              <w:t>1</w:t>
            </w:r>
            <w:r>
              <w:rPr>
                <w:rFonts w:hint="default" w:ascii="Times New Roman" w:hAnsi="Times New Roman" w:eastAsia="宋体" w:cs="Times New Roman"/>
                <w:color w:val="auto"/>
                <w:sz w:val="21"/>
                <w:szCs w:val="21"/>
                <w:highlight w:val="none"/>
              </w:rPr>
              <w:t>份、副本</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4</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份。</w:t>
            </w:r>
          </w:p>
          <w:p w14:paraId="695B3302">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（2）电子文件</w:t>
            </w:r>
            <w:r>
              <w:rPr>
                <w:rFonts w:hint="default" w:ascii="Times New Roman" w:hAnsi="Times New Roman" w:eastAsia="宋体"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1</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rPr>
              <w:t>份（</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扫描件 </w:t>
            </w:r>
            <w:r>
              <w:rPr>
                <w:rFonts w:hint="eastAsia" w:ascii="Times New Roman" w:hAnsi="Times New Roman"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Word）。</w:t>
            </w:r>
          </w:p>
          <w:p w14:paraId="0B30EC8D">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采用光盘或U盘刻录提交。</w:t>
            </w:r>
          </w:p>
        </w:tc>
      </w:tr>
      <w:tr w14:paraId="6AE6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9405A24">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30</w:t>
            </w:r>
          </w:p>
        </w:tc>
        <w:tc>
          <w:tcPr>
            <w:tcW w:w="1984" w:type="dxa"/>
            <w:noWrap w:val="0"/>
            <w:vAlign w:val="center"/>
          </w:tcPr>
          <w:p w14:paraId="441031A2">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代理费用</w:t>
            </w:r>
          </w:p>
        </w:tc>
        <w:tc>
          <w:tcPr>
            <w:tcW w:w="6058" w:type="dxa"/>
            <w:gridSpan w:val="2"/>
            <w:noWrap w:val="0"/>
            <w:vAlign w:val="center"/>
          </w:tcPr>
          <w:p w14:paraId="0F5B14FB">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代理费用：</w:t>
            </w:r>
          </w:p>
          <w:p w14:paraId="06BD35C8">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（1）本项目代理费用由</w:t>
            </w:r>
            <w:r>
              <w:rPr>
                <w:rFonts w:hint="eastAsia" w:ascii="Times New Roman" w:hAnsi="Times New Roman" w:eastAsia="宋体" w:cs="Times New Roman"/>
                <w:color w:val="auto"/>
                <w:sz w:val="21"/>
                <w:szCs w:val="21"/>
                <w:highlight w:val="none"/>
                <w:lang w:val="en-US" w:eastAsia="zh-CN"/>
              </w:rPr>
              <w:t>各合同包</w:t>
            </w:r>
            <w:r>
              <w:rPr>
                <w:rFonts w:hint="default" w:ascii="Times New Roman" w:hAnsi="Times New Roman" w:eastAsia="宋体" w:cs="Times New Roman"/>
                <w:color w:val="auto"/>
                <w:sz w:val="21"/>
                <w:szCs w:val="21"/>
                <w:highlight w:val="none"/>
              </w:rPr>
              <w:t>中标人支付。</w:t>
            </w:r>
          </w:p>
          <w:p w14:paraId="4F39C54E">
            <w:pPr>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（2）代理费用收取方式及标准：</w:t>
            </w:r>
          </w:p>
          <w:p w14:paraId="7B9BCDB6">
            <w:pPr>
              <w:spacing w:after="0" w:line="360" w:lineRule="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本项目的招标代理服务费以每个合同包的中标金额作为收费的计算基数，向采购代理机构缴纳招标代理服务费，每个合同包分别计算，费率标准:100万元以下，1.5%</w:t>
            </w:r>
            <w:r>
              <w:rPr>
                <w:rFonts w:hint="eastAsia" w:ascii="Times New Roman" w:hAnsi="Times New Roman" w:cs="Times New Roman"/>
                <w:color w:val="auto"/>
                <w:sz w:val="21"/>
                <w:szCs w:val="21"/>
                <w:highlight w:val="none"/>
                <w:lang w:val="en-US" w:eastAsia="zh-CN"/>
              </w:rPr>
              <w:t>，不足3000元按3000元收取</w:t>
            </w:r>
            <w:r>
              <w:rPr>
                <w:rFonts w:hint="eastAsia" w:ascii="Times New Roman" w:hAnsi="Times New Roman" w:eastAsia="宋体" w:cs="Times New Roman"/>
                <w:color w:val="auto"/>
                <w:sz w:val="21"/>
                <w:szCs w:val="21"/>
                <w:highlight w:val="none"/>
                <w:lang w:val="en-US" w:eastAsia="zh-CN"/>
              </w:rPr>
              <w:t>； 招标代理服务费缴交银行账号：开户名称： 福建盛鑫招标代理有限公司三明分公司；开户银行：中国银行三元支行；账号：4208 7450 7725。</w:t>
            </w:r>
          </w:p>
        </w:tc>
      </w:tr>
      <w:tr w14:paraId="4498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C733ECC">
            <w:pPr>
              <w:topLinePunct/>
              <w:autoSpaceDE w:val="0"/>
              <w:autoSpaceDN w:val="0"/>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w:t>
            </w:r>
          </w:p>
        </w:tc>
        <w:tc>
          <w:tcPr>
            <w:tcW w:w="1984" w:type="dxa"/>
            <w:noWrap w:val="0"/>
            <w:vAlign w:val="center"/>
          </w:tcPr>
          <w:p w14:paraId="59DCDACA">
            <w:pPr>
              <w:adjustRightInd w:val="0"/>
              <w:snapToGrid w:val="0"/>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其他补充事项</w:t>
            </w:r>
          </w:p>
        </w:tc>
        <w:tc>
          <w:tcPr>
            <w:tcW w:w="6058" w:type="dxa"/>
            <w:gridSpan w:val="2"/>
            <w:noWrap w:val="0"/>
            <w:vAlign w:val="center"/>
          </w:tcPr>
          <w:p w14:paraId="77E2D819">
            <w:pPr>
              <w:adjustRightInd w:val="0"/>
              <w:snapToGrid w:val="0"/>
              <w:spacing w:after="0" w:line="36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其他补充事项：</w:t>
            </w:r>
            <w:r>
              <w:rPr>
                <w:rFonts w:hint="default" w:ascii="Times New Roman" w:hAnsi="Times New Roman" w:eastAsia="宋体" w:cs="Times New Roman"/>
                <w:color w:val="auto"/>
                <w:sz w:val="21"/>
                <w:szCs w:val="21"/>
                <w:highlight w:val="none"/>
                <w:u w:val="single"/>
              </w:rPr>
              <w:t xml:space="preserve">                 </w:t>
            </w:r>
          </w:p>
        </w:tc>
      </w:tr>
    </w:tbl>
    <w:p w14:paraId="7A84F53B">
      <w:pPr>
        <w:spacing w:after="0" w:line="240" w:lineRule="auto"/>
        <w:rPr>
          <w:color w:val="auto"/>
          <w:highlight w:val="none"/>
        </w:rPr>
      </w:pPr>
    </w:p>
    <w:p w14:paraId="778BE070">
      <w:pPr>
        <w:spacing w:after="0" w:line="240" w:lineRule="auto"/>
        <w:rPr>
          <w:color w:val="auto"/>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D1457B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黑体" w:cs="Times New Roman"/>
          <w:color w:val="auto"/>
          <w:sz w:val="21"/>
          <w:szCs w:val="21"/>
          <w:highlight w:val="none"/>
        </w:rPr>
      </w:pPr>
      <w:bookmarkStart w:id="4" w:name="_Toc132880274"/>
      <w:r>
        <w:rPr>
          <w:rFonts w:hint="default" w:ascii="Times New Roman" w:hAnsi="Times New Roman" w:eastAsia="黑体" w:cs="Times New Roman"/>
          <w:color w:val="auto"/>
          <w:sz w:val="21"/>
          <w:szCs w:val="21"/>
          <w:highlight w:val="none"/>
        </w:rPr>
        <w:t>一、总则</w:t>
      </w:r>
      <w:bookmarkEnd w:id="4"/>
    </w:p>
    <w:p w14:paraId="1D2CB4A1">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1.预算资金及来源</w:t>
      </w:r>
    </w:p>
    <w:p w14:paraId="042A277A">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 本项目已经</w:t>
      </w:r>
      <w:r>
        <w:rPr>
          <w:rFonts w:hint="eastAsia" w:ascii="Times New Roman" w:hAnsi="Times New Roman" w:eastAsia="宋体" w:cs="Times New Roman"/>
          <w:b/>
          <w:color w:val="auto"/>
          <w:sz w:val="21"/>
          <w:szCs w:val="21"/>
          <w:highlight w:val="none"/>
          <w:u w:val="single"/>
          <w:lang w:val="en-US" w:eastAsia="zh-CN"/>
        </w:rPr>
        <w:t>国家税务总局三明市三元区税务局</w:t>
      </w:r>
      <w:r>
        <w:rPr>
          <w:rFonts w:hint="default" w:ascii="Times New Roman" w:hAnsi="Times New Roman" w:cs="Times New Roman"/>
          <w:color w:val="auto"/>
          <w:sz w:val="21"/>
          <w:szCs w:val="21"/>
          <w:highlight w:val="none"/>
        </w:rPr>
        <w:t>批准立项。</w:t>
      </w:r>
    </w:p>
    <w:p w14:paraId="38315E5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 本项目预算资金见</w:t>
      </w:r>
      <w:r>
        <w:rPr>
          <w:rFonts w:hint="default" w:ascii="Times New Roman" w:hAnsi="Times New Roman" w:cs="Times New Roman"/>
          <w:b/>
          <w:bCs/>
          <w:color w:val="auto"/>
          <w:sz w:val="21"/>
          <w:szCs w:val="21"/>
          <w:highlight w:val="none"/>
        </w:rPr>
        <w:t>投标人须知前附表</w:t>
      </w:r>
      <w:r>
        <w:rPr>
          <w:rFonts w:hint="default" w:ascii="Times New Roman" w:hAnsi="Times New Roman" w:cs="Times New Roman"/>
          <w:color w:val="auto"/>
          <w:sz w:val="21"/>
          <w:szCs w:val="21"/>
          <w:highlight w:val="none"/>
        </w:rPr>
        <w:t>，已列入</w:t>
      </w:r>
      <w:r>
        <w:rPr>
          <w:rFonts w:hint="eastAsia" w:ascii="Times New Roman" w:hAnsi="Times New Roman" w:eastAsia="宋体" w:cs="Times New Roman"/>
          <w:b/>
          <w:color w:val="auto"/>
          <w:sz w:val="21"/>
          <w:szCs w:val="21"/>
          <w:highlight w:val="none"/>
          <w:u w:val="single"/>
          <w:lang w:val="en-US" w:eastAsia="zh-CN"/>
        </w:rPr>
        <w:t>国家税务总局三明市三元区税务局</w:t>
      </w:r>
      <w:r>
        <w:rPr>
          <w:rFonts w:hint="default" w:ascii="Times New Roman" w:hAnsi="Times New Roman" w:cs="Times New Roman"/>
          <w:color w:val="auto"/>
          <w:sz w:val="21"/>
          <w:szCs w:val="21"/>
          <w:highlight w:val="none"/>
        </w:rPr>
        <w:t>预算。</w:t>
      </w:r>
    </w:p>
    <w:p w14:paraId="24C8434F">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2.合格的产品和服务</w:t>
      </w:r>
    </w:p>
    <w:p w14:paraId="59A03083">
      <w:pPr>
        <w:pageBreakBefore w:val="0"/>
        <w:tabs>
          <w:tab w:val="left" w:pos="2160"/>
        </w:tabs>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 本项目所涉及的所有产品和服务均应来自中国境内（指关境内），合同金额的支付也仅限于这些产品和服务。</w:t>
      </w:r>
    </w:p>
    <w:p w14:paraId="7DC98C5F">
      <w:pPr>
        <w:pageBreakBefore w:val="0"/>
        <w:tabs>
          <w:tab w:val="left" w:pos="2160"/>
        </w:tabs>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 合格的产品和服务即</w:t>
      </w:r>
      <w:r>
        <w:rPr>
          <w:rFonts w:hint="default" w:ascii="Times New Roman" w:hAnsi="Times New Roman" w:cs="Times New Roman"/>
          <w:b/>
          <w:bCs/>
          <w:color w:val="auto"/>
          <w:sz w:val="21"/>
          <w:szCs w:val="21"/>
          <w:highlight w:val="none"/>
        </w:rPr>
        <w:t>采购需求</w:t>
      </w:r>
      <w:r>
        <w:rPr>
          <w:rFonts w:hint="default" w:ascii="Times New Roman" w:hAnsi="Times New Roman" w:cs="Times New Roman"/>
          <w:color w:val="auto"/>
          <w:sz w:val="21"/>
          <w:szCs w:val="21"/>
          <w:highlight w:val="none"/>
        </w:rPr>
        <w:t>见</w:t>
      </w:r>
      <w:r>
        <w:rPr>
          <w:rFonts w:hint="default" w:ascii="Times New Roman" w:hAnsi="Times New Roman" w:cs="Times New Roman"/>
          <w:b/>
          <w:color w:val="auto"/>
          <w:sz w:val="21"/>
          <w:szCs w:val="21"/>
          <w:highlight w:val="none"/>
        </w:rPr>
        <w:t>招标文件（技术部分）。</w:t>
      </w:r>
    </w:p>
    <w:p w14:paraId="2F2B7C33">
      <w:pPr>
        <w:pageBreakBefore w:val="0"/>
        <w:kinsoku/>
        <w:wordWrap/>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 投标人应保证所提供的产品及服务免受第三方提出侵犯其知识产权（专利权、商标权、工业设计权及使用权）的请求及起诉。</w:t>
      </w:r>
    </w:p>
    <w:p w14:paraId="1B6B79FC">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3.合格的投标人</w:t>
      </w:r>
    </w:p>
    <w:p w14:paraId="02E59F86">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3.1一般规定</w:t>
      </w:r>
    </w:p>
    <w:p w14:paraId="30ED87C1">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3.1.1投标人应遵守《政府采购法》及其实施条例、《政府采购货物和服务招标投标管理办法》、《政府采购质疑和投诉办法》及有关政府采购的规定，同时还应遵守有关法律、法规和规章的强制性规定。</w:t>
      </w:r>
    </w:p>
    <w:p w14:paraId="4BA1076C">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3.1.2投标人的资格要求及本项目的特定资格要求见</w:t>
      </w:r>
      <w:r>
        <w:rPr>
          <w:rFonts w:hint="default" w:ascii="Times New Roman" w:hAnsi="Times New Roman" w:cs="Times New Roman"/>
          <w:b/>
          <w:color w:val="auto"/>
          <w:sz w:val="21"/>
          <w:szCs w:val="21"/>
          <w:highlight w:val="none"/>
        </w:rPr>
        <w:t>投标人须知前附表</w:t>
      </w:r>
      <w:r>
        <w:rPr>
          <w:rFonts w:hint="default" w:ascii="Times New Roman" w:hAnsi="Times New Roman" w:cs="Times New Roman"/>
          <w:color w:val="auto"/>
          <w:sz w:val="21"/>
          <w:szCs w:val="21"/>
          <w:highlight w:val="none"/>
        </w:rPr>
        <w:t>。</w:t>
      </w:r>
    </w:p>
    <w:p w14:paraId="5B3DB678">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3.1.3资格条件中所称“重大违法记录”，是指投标人因违法经营受到刑事处罚或者责令停产停业、吊销许可证或者执照、较大数额罚款等行政处罚。</w:t>
      </w:r>
    </w:p>
    <w:p w14:paraId="607341F5">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投标人在参加政府采购活动前3年内因违法经营被禁止在一定期限内参加政府采购活动，期限届满的，可以参加政府采购活动。</w:t>
      </w:r>
    </w:p>
    <w:p w14:paraId="21850989">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“较大数额罚款”认定为200万元以上的罚款，法律、行政法规以及国务院有关部门明确规定相关领域“较大数额罚款”标准高于200万元的，从其规定。</w:t>
      </w:r>
    </w:p>
    <w:p w14:paraId="7BC682DB">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3.1.4信用记录要求</w:t>
      </w:r>
    </w:p>
    <w:p w14:paraId="32DEB9C8">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人、采购代理机构应当通过“信用中国”网站（www.creditchina.gov.cn）、中国政府采购网（www.ccgp.gov.cn）等渠道查询投标人的信用记录，并对投标人信用记录进行甄别，对列入失信被执行人、重大税收违法案件当事人名单、政府采购严重违法失信行为记录名单及其他不符合《中华人民共和国政府采购法》第二十二条规定条件的投标人，应当拒绝其参与政府采购活动。</w:t>
      </w:r>
    </w:p>
    <w:p w14:paraId="5E767BD7">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675273A0">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3.2联合体</w:t>
      </w:r>
    </w:p>
    <w:p w14:paraId="6246EFA0">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3.2.1若本项目接受联合体投标，则两个以上的自然人、法人或者其他组织可以组成一个联合体，以一个投标人的身份共同参加政府采购。</w:t>
      </w:r>
    </w:p>
    <w:p w14:paraId="0DF325BD">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3.2.2以联合体形式参加投标的，联合体各方应按第二章要求提供资格条件材料。</w:t>
      </w:r>
    </w:p>
    <w:p w14:paraId="71FAFEA2">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3.2.3联合体中有同类资质的投标人按照联合体分工承担相同工作的，应当按照资质等级较低的投标人确定资质等级。</w:t>
      </w:r>
    </w:p>
    <w:p w14:paraId="04CF6EF7">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3.2.4联合体应当提交联合协议，载明联合体各方承担的工作和义务。</w:t>
      </w:r>
    </w:p>
    <w:p w14:paraId="37BF7E14">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3.2.5联合体各方应当共同与采购人签订采购合同，就采购合同约定的事项对采购人承担连带责任。</w:t>
      </w:r>
    </w:p>
    <w:p w14:paraId="342EE593">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3.2.6以联合体形式参加政府采购活动的，联合体各方不得再单独参加或者与其他投标人另外组成联合体参加同一合同项下的政府采购活动。</w:t>
      </w:r>
    </w:p>
    <w:p w14:paraId="59F63977">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3.3禁止规定</w:t>
      </w:r>
    </w:p>
    <w:p w14:paraId="0B9EF2FE">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3.3.1单位负责人为同一人或者存在直接控股、管理关系的不同投标人，不得参加同一采购包的政府采购活动。否则投标均无效。</w:t>
      </w:r>
    </w:p>
    <w:p w14:paraId="629307FD">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3.3.2除单一来源采购项目外，为采购项目提供整体设计、规范编制或者项目管理、监理、检测等服务的供应商，不得再参加该采购项目的其他采购活动。否则投标无效。</w:t>
      </w:r>
    </w:p>
    <w:p w14:paraId="4437C7A9">
      <w:pPr>
        <w:pageBreakBefore w:val="0"/>
        <w:numPr>
          <w:ilvl w:val="0"/>
          <w:numId w:val="0"/>
        </w:numPr>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4.投标费用</w:t>
      </w:r>
    </w:p>
    <w:p w14:paraId="14B270C7">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 投标人应承担所有与编写、提交投标文件有关的费用，不论招标的结果如何，采购人在任何情况下均无义务和责任承担这些费用。</w:t>
      </w:r>
    </w:p>
    <w:p w14:paraId="580A1C4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5" w:name="_Toc132880275"/>
      <w:r>
        <w:rPr>
          <w:rFonts w:hint="eastAsia" w:ascii="黑体" w:hAnsi="黑体" w:eastAsia="黑体" w:cs="黑体"/>
          <w:color w:val="auto"/>
          <w:highlight w:val="none"/>
        </w:rPr>
        <w:t>二、招标文件</w:t>
      </w:r>
      <w:bookmarkEnd w:id="5"/>
    </w:p>
    <w:p w14:paraId="2AC325D0">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5.招标文件构成</w:t>
      </w:r>
    </w:p>
    <w:p w14:paraId="2E408EC3">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第一部分 商务部分</w:t>
      </w:r>
    </w:p>
    <w:p w14:paraId="54FA4833">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（1）招标公告</w:t>
      </w:r>
    </w:p>
    <w:p w14:paraId="721D6436">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（2）投标人须知</w:t>
      </w:r>
    </w:p>
    <w:p w14:paraId="3E00BB02">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（3）评标方法及标准</w:t>
      </w:r>
    </w:p>
    <w:p w14:paraId="0EA8167C">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（4）政府采购合同文本</w:t>
      </w:r>
    </w:p>
    <w:p w14:paraId="527EB6F4">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（5）投标文件格式</w:t>
      </w:r>
    </w:p>
    <w:p w14:paraId="23936EAF">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第二部分 技术部分</w:t>
      </w:r>
    </w:p>
    <w:p w14:paraId="4C9AE600">
      <w:pPr>
        <w:pageBreakBefore w:val="0"/>
        <w:kinsoku/>
        <w:wordWrap/>
        <w:topLinePunct/>
        <w:autoSpaceDE w:val="0"/>
        <w:autoSpaceDN w:val="0"/>
        <w:bidi w:val="0"/>
        <w:adjustRightInd w:val="0"/>
        <w:snapToGrid w:val="0"/>
        <w:spacing w:after="0" w:line="360" w:lineRule="auto"/>
        <w:ind w:firstLine="413" w:firstLineChars="196"/>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6.招标文件询问、澄清或修改</w:t>
      </w:r>
    </w:p>
    <w:p w14:paraId="4F73573A">
      <w:pPr>
        <w:pageBreakBefore w:val="0"/>
        <w:widowControl/>
        <w:kinsoku/>
        <w:wordWrap/>
        <w:topLinePunct/>
        <w:autoSpaceDE w:val="0"/>
        <w:autoSpaceDN w:val="0"/>
        <w:bidi w:val="0"/>
        <w:adjustRightInd w:val="0"/>
        <w:snapToGrid w:val="0"/>
        <w:spacing w:after="0" w:line="360" w:lineRule="auto"/>
        <w:ind w:firstLine="420" w:firstLineChars="200"/>
        <w:jc w:val="left"/>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6.1 投标人对招标文件如有疑问的，可以向采购人或者采购代理机构提出询问，采购人或者采购代理机构应当在3个工作日内作出答复</w:t>
      </w:r>
      <w:r>
        <w:rPr>
          <w:rFonts w:hint="default" w:ascii="Times New Roman" w:hAnsi="Times New Roman" w:cs="Times New Roman"/>
          <w:bCs/>
          <w:color w:val="auto"/>
          <w:sz w:val="21"/>
          <w:szCs w:val="21"/>
          <w:highlight w:val="none"/>
        </w:rPr>
        <w:t>，但答复的内容不得涉及商业秘密。</w:t>
      </w:r>
      <w:r>
        <w:rPr>
          <w:rFonts w:hint="default" w:ascii="Times New Roman" w:hAnsi="Times New Roman" w:cs="Times New Roman"/>
          <w:color w:val="auto"/>
          <w:sz w:val="21"/>
          <w:szCs w:val="21"/>
          <w:highlight w:val="none"/>
        </w:rPr>
        <w:t>如有必要，采购人或者采购代理机构可对招标文件进行澄清或者修改。</w:t>
      </w:r>
    </w:p>
    <w:p w14:paraId="2DD7A4F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6.2 采购人或者采购代理机构可主动对招标文件进行必要的澄清或者修改，但不得改变采购标的和资格条件。</w:t>
      </w:r>
    </w:p>
    <w:p w14:paraId="1C035ED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6.3 澄清或者修改应当在原公告发布媒体上发布澄清公告，线上采购项目还应通过国家税务总局政府采购评审管理系统（以下简称“评审管理系统”）通知所有获取招标文件的潜在投标人。</w:t>
      </w:r>
    </w:p>
    <w:p w14:paraId="62BEA7B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6.4 澄清或者修改的内容可能影响投标文件编制的，采购人或者采购代理机构应当在投标截止时间至少15日前，以书面形式或通过评审管理系统（适用于线上采购，下同）通知所有获取招标文件的潜在投标人；不足15日的，采购人或者采购代理机构应当顺延提交投标文件的截止时间。</w:t>
      </w:r>
    </w:p>
    <w:p w14:paraId="5974D56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 澄清或者修改的内容为招标文件的组成部分。</w:t>
      </w:r>
    </w:p>
    <w:p w14:paraId="6369BD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6" w:name="_Toc132880276"/>
      <w:r>
        <w:rPr>
          <w:rFonts w:hint="eastAsia" w:ascii="黑体" w:hAnsi="黑体" w:eastAsia="黑体" w:cs="黑体"/>
          <w:color w:val="auto"/>
          <w:highlight w:val="none"/>
        </w:rPr>
        <w:t>三、投标文件</w:t>
      </w:r>
      <w:bookmarkEnd w:id="6"/>
    </w:p>
    <w:p w14:paraId="7168E2BB">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7</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投标文件编制</w:t>
      </w:r>
    </w:p>
    <w:p w14:paraId="6741726D">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7.1投标文件的编制</w:t>
      </w:r>
    </w:p>
    <w:p w14:paraId="5343BB88">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7.1.1投标人应先仔细阅读招标文件的全部内容后，再进行投标文件的编制。</w:t>
      </w:r>
    </w:p>
    <w:p w14:paraId="1424C50E">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7.1.2投标文件应满足招标文件提出的实质性要求和条件，并保证其所提交的全部资料是不可割离且真实、有效、准确、完整和不具有任何误导性的，否则造成不利后果由投标人承担责任。</w:t>
      </w:r>
    </w:p>
    <w:p w14:paraId="4CC6218D">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7.2投标文件的语言</w:t>
      </w:r>
    </w:p>
    <w:p w14:paraId="023F5CE8">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7.2.1除招标文件另有规定外，投标文件应使用中文文本并使用中文简化字，若有不同文本，以中文简化字文本为准。</w:t>
      </w:r>
    </w:p>
    <w:p w14:paraId="59762A78">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7.2.2投标文件提供的全部资料中，若属于非中文描述的，应同时提供中文简化字译本。</w:t>
      </w:r>
    </w:p>
    <w:p w14:paraId="5D48B456">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7.2.3除在招标文件的要求中另有规定外，投标文件计量单位应使用中华人民共和国法定计量单位。</w:t>
      </w:r>
    </w:p>
    <w:p w14:paraId="5D9F52C7">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7.3投标人制作投标文件前须提前办理数字证书和电子签章，办理方式和注意事项详见网站《供应商操作手册》。供应商在国家税务总局集中采购中心网站（https://swcg.chinatax.gov.cn） “下载中心”下载并安装“供应商投标工具”，使用投标工具编制投标文件。（线上采购项目适用）</w:t>
      </w:r>
    </w:p>
    <w:p w14:paraId="40DD078A">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8.投标文件的组成</w:t>
      </w:r>
    </w:p>
    <w:p w14:paraId="4A14BF81">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8.1 投标文件包括商务部分和技术部分。</w:t>
      </w:r>
    </w:p>
    <w:p w14:paraId="6B005D1D">
      <w:pPr>
        <w:pageBreakBefore w:val="0"/>
        <w:kinsoku/>
        <w:wordWrap/>
        <w:topLinePunct/>
        <w:autoSpaceDE w:val="0"/>
        <w:autoSpaceDN w:val="0"/>
        <w:bidi w:val="0"/>
        <w:adjustRightInd w:val="0"/>
        <w:snapToGrid w:val="0"/>
        <w:spacing w:after="0" w:line="360" w:lineRule="auto"/>
        <w:ind w:firstLine="428" w:firstLineChars="20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 投标文件</w:t>
      </w:r>
      <w:r>
        <w:rPr>
          <w:rFonts w:hint="default" w:ascii="Times New Roman" w:hAnsi="Times New Roman" w:eastAsia="宋体" w:cs="Times New Roman"/>
          <w:b/>
          <w:bCs/>
          <w:color w:val="auto"/>
          <w:sz w:val="21"/>
          <w:szCs w:val="21"/>
          <w:highlight w:val="none"/>
        </w:rPr>
        <w:t>商务部分</w:t>
      </w:r>
      <w:r>
        <w:rPr>
          <w:rFonts w:hint="default" w:ascii="Times New Roman" w:hAnsi="Times New Roman" w:eastAsia="宋体" w:cs="Times New Roman"/>
          <w:color w:val="auto"/>
          <w:sz w:val="21"/>
          <w:szCs w:val="21"/>
          <w:highlight w:val="none"/>
        </w:rPr>
        <w:t>主要包括的文件和资料：</w:t>
      </w:r>
    </w:p>
    <w:p w14:paraId="5D1E7700">
      <w:pPr>
        <w:pageBreakBefore w:val="0"/>
        <w:kinsoku/>
        <w:wordWrap/>
        <w:topLinePunct/>
        <w:autoSpaceDE w:val="0"/>
        <w:autoSpaceDN w:val="0"/>
        <w:bidi w:val="0"/>
        <w:adjustRightInd w:val="0"/>
        <w:snapToGrid w:val="0"/>
        <w:spacing w:after="0" w:line="360" w:lineRule="auto"/>
        <w:ind w:firstLine="428" w:firstLineChars="20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8.2.1 资格证明文件，见</w:t>
      </w:r>
      <w:r>
        <w:rPr>
          <w:rFonts w:hint="default" w:ascii="Times New Roman" w:hAnsi="Times New Roman" w:eastAsia="宋体" w:cs="Times New Roman"/>
          <w:b/>
          <w:color w:val="auto"/>
          <w:sz w:val="21"/>
          <w:szCs w:val="21"/>
          <w:highlight w:val="none"/>
        </w:rPr>
        <w:t>投标人须知前附表。</w:t>
      </w:r>
    </w:p>
    <w:p w14:paraId="620985C8">
      <w:pPr>
        <w:pageBreakBefore w:val="0"/>
        <w:kinsoku/>
        <w:wordWrap/>
        <w:overflowPunct w:val="0"/>
        <w:autoSpaceDE w:val="0"/>
        <w:autoSpaceDN w:val="0"/>
        <w:bidi w:val="0"/>
        <w:adjustRightInd w:val="0"/>
        <w:snapToGrid w:val="0"/>
        <w:spacing w:after="0" w:line="360" w:lineRule="auto"/>
        <w:ind w:firstLine="426" w:firstLineChars="20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8.2.2 其他文件及资料，见</w:t>
      </w:r>
      <w:r>
        <w:rPr>
          <w:rFonts w:hint="default" w:ascii="Times New Roman" w:hAnsi="Times New Roman" w:eastAsia="宋体" w:cs="Times New Roman"/>
          <w:b/>
          <w:color w:val="auto"/>
          <w:sz w:val="21"/>
          <w:szCs w:val="21"/>
          <w:highlight w:val="none"/>
        </w:rPr>
        <w:t>投标人须知前附表。</w:t>
      </w:r>
    </w:p>
    <w:p w14:paraId="4953ADDB">
      <w:pPr>
        <w:pageBreakBefore w:val="0"/>
        <w:kinsoku/>
        <w:wordWrap/>
        <w:overflowPunct w:val="0"/>
        <w:autoSpaceDE w:val="0"/>
        <w:autoSpaceDN w:val="0"/>
        <w:bidi w:val="0"/>
        <w:adjustRightInd w:val="0"/>
        <w:snapToGrid w:val="0"/>
        <w:spacing w:after="0" w:line="360" w:lineRule="auto"/>
        <w:ind w:firstLine="426" w:firstLineChars="20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8.3 投标文件</w:t>
      </w:r>
      <w:r>
        <w:rPr>
          <w:rFonts w:hint="default" w:ascii="Times New Roman" w:hAnsi="Times New Roman" w:eastAsia="宋体" w:cs="Times New Roman"/>
          <w:b/>
          <w:bCs/>
          <w:color w:val="auto"/>
          <w:sz w:val="21"/>
          <w:szCs w:val="21"/>
          <w:highlight w:val="none"/>
        </w:rPr>
        <w:t>技术部分</w:t>
      </w:r>
      <w:r>
        <w:rPr>
          <w:rFonts w:hint="default" w:ascii="Times New Roman" w:hAnsi="Times New Roman" w:eastAsia="宋体" w:cs="Times New Roman"/>
          <w:color w:val="auto"/>
          <w:sz w:val="21"/>
          <w:szCs w:val="21"/>
          <w:highlight w:val="none"/>
        </w:rPr>
        <w:t>主要包括的文件及资料，见</w:t>
      </w:r>
      <w:r>
        <w:rPr>
          <w:rFonts w:hint="default" w:ascii="Times New Roman" w:hAnsi="Times New Roman" w:eastAsia="宋体" w:cs="Times New Roman"/>
          <w:b/>
          <w:color w:val="auto"/>
          <w:sz w:val="21"/>
          <w:szCs w:val="21"/>
          <w:highlight w:val="none"/>
        </w:rPr>
        <w:t>投标人须知前附表。</w:t>
      </w:r>
    </w:p>
    <w:p w14:paraId="5E04CB08">
      <w:pPr>
        <w:pageBreakBefore w:val="0"/>
        <w:kinsoku/>
        <w:wordWrap/>
        <w:overflowPunct w:val="0"/>
        <w:autoSpaceDE w:val="0"/>
        <w:autoSpaceDN w:val="0"/>
        <w:bidi w:val="0"/>
        <w:adjustRightInd w:val="0"/>
        <w:snapToGrid w:val="0"/>
        <w:spacing w:after="0" w:line="360" w:lineRule="auto"/>
        <w:ind w:firstLine="426" w:firstLineChars="203"/>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8.4 证明资料如标明有效期的，必须在有效期内。</w:t>
      </w:r>
    </w:p>
    <w:p w14:paraId="62AB8014">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9.报价要求</w:t>
      </w:r>
    </w:p>
    <w:p w14:paraId="7B4B4EBD">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9.1 除招标文件另有规定外，投标应以人民币报价，线上采购项目还须按照投标工具的流程和提示编制并上传投标报价表。</w:t>
      </w:r>
    </w:p>
    <w:p w14:paraId="5BD44C46">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9.2 本项目不接受任何形式的赠送、“零”报价和折扣报价。</w:t>
      </w:r>
    </w:p>
    <w:p w14:paraId="352E694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9.3 本项目以投标报价为依据计算价格分。投标报价应包括招标文件中要求投标人承担所有工作内容的全部费用。</w:t>
      </w:r>
    </w:p>
    <w:p w14:paraId="57FF1F3A">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3DDDA37">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9.5 最低报价不能作为中标的保证。</w:t>
      </w:r>
    </w:p>
    <w:p w14:paraId="3330D7E6">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10.投标文件的书写、密封、签署、盖章</w:t>
      </w:r>
    </w:p>
    <w:p w14:paraId="23569509">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10.1书写</w:t>
      </w:r>
    </w:p>
    <w:p w14:paraId="567D2C10">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10.1.1投标文件应使用不能擦去的墨料或墨水打印、书写。</w:t>
      </w:r>
    </w:p>
    <w:p w14:paraId="7AC160EB">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10.1.2投标文件内容应没有涂改或行间插字。若有前述改动，在改动处应由单位负责人（投标人代表）签字确认或加盖投标人的单位公章或校正章。</w:t>
      </w:r>
    </w:p>
    <w:p w14:paraId="7AD8C682">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10.2密封</w:t>
      </w:r>
    </w:p>
    <w:p w14:paraId="67A0D969">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10.2.1投标文件应胶装或装订成册，避免材料散装、脱落。</w:t>
      </w:r>
    </w:p>
    <w:p w14:paraId="020DE7B3">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10.2.2投标文件应使用不透明的牛皮纸或档案袋等材料密封包装，并在外包装封面注明“正本”或“副本”，以及项目编号、项目名称、开标时间等信息，避免投标文件被误拆或提前拆封。投标文件正本应按上述要求制作。副本可按上述要求制作，也可用正本的完整复印件，并与正本保持一致（若不一致，以正本为准）</w:t>
      </w:r>
    </w:p>
    <w:p w14:paraId="7655A197">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10.3签署、盖章</w:t>
      </w:r>
    </w:p>
    <w:p w14:paraId="7F26ABD1">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10.3.1</w:t>
      </w:r>
      <w:r>
        <w:rPr>
          <w:rFonts w:hint="default" w:ascii="Times New Roman" w:hAnsi="Times New Roman" w:cs="Times New Roman"/>
          <w:color w:val="auto"/>
          <w:sz w:val="21"/>
          <w:szCs w:val="21"/>
          <w:highlight w:val="none"/>
        </w:rPr>
        <w:t>投标文件中要求签字处应由投标人的单位负责人（投标人代表）签字或加盖个人印章。</w:t>
      </w:r>
    </w:p>
    <w:p w14:paraId="6D7733D1">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10.3.2投标文件必须按照招标文件给出文件格式的签署要求进行签署。</w:t>
      </w:r>
    </w:p>
    <w:p w14:paraId="14F37D04">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10.3.3投标人在</w:t>
      </w:r>
      <w:r>
        <w:rPr>
          <w:rFonts w:hint="default" w:ascii="Times New Roman" w:hAnsi="Times New Roman" w:eastAsia="宋体" w:cs="Times New Roman"/>
          <w:b/>
          <w:bCs/>
          <w:color w:val="auto"/>
          <w:sz w:val="21"/>
          <w:szCs w:val="21"/>
          <w:highlight w:val="none"/>
        </w:rPr>
        <w:t>“投标函”“法定代表人授权委托书”</w:t>
      </w:r>
      <w:r>
        <w:rPr>
          <w:rFonts w:hint="default" w:ascii="Times New Roman" w:hAnsi="Times New Roman" w:eastAsia="宋体" w:cs="Times New Roman"/>
          <w:color w:val="auto"/>
          <w:sz w:val="21"/>
          <w:szCs w:val="21"/>
          <w:highlight w:val="none"/>
        </w:rPr>
        <w:t>上应当按格式要求加盖与投标人名称全称一致的标准公章，并按照招标文件第五章投标文件格式中的相应格式文件要求签署全名或加盖名章。</w:t>
      </w:r>
    </w:p>
    <w:p w14:paraId="1C66CD0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10.3.4投标文件中的“盖章”指加盖投标人的“公章”，而非“合同专用章”、“投标专用章”等其他非公章。</w:t>
      </w:r>
    </w:p>
    <w:p w14:paraId="38EF56D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10.3.5线上采购项目可以使用电子签章。</w:t>
      </w:r>
    </w:p>
    <w:p w14:paraId="5BCAFB82">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投标有效期</w:t>
      </w:r>
    </w:p>
    <w:p w14:paraId="7B1A1362">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11.1 投标有效期见</w:t>
      </w:r>
      <w:r>
        <w:rPr>
          <w:rFonts w:hint="default" w:ascii="Times New Roman" w:hAnsi="Times New Roman" w:eastAsia="宋体" w:cs="Times New Roman"/>
          <w:b/>
          <w:color w:val="auto"/>
          <w:sz w:val="21"/>
          <w:szCs w:val="21"/>
          <w:highlight w:val="none"/>
        </w:rPr>
        <w:t>投标人须知前附表</w:t>
      </w:r>
      <w:r>
        <w:rPr>
          <w:rFonts w:hint="default" w:ascii="Times New Roman" w:hAnsi="Times New Roman" w:eastAsia="宋体" w:cs="Times New Roman"/>
          <w:color w:val="auto"/>
          <w:sz w:val="21"/>
          <w:szCs w:val="21"/>
          <w:highlight w:val="none"/>
        </w:rPr>
        <w:t>，在此期间，投标文件对投标人具有法律约束力，以保证采购人或者采购代理机构有足够的时间完成评标、定标以及签订合同。投标文件中承诺的投标有效期应当不少于招标文件中载明的投标有效期，否则作为无效投标处理。</w:t>
      </w:r>
    </w:p>
    <w:p w14:paraId="5FD12061">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11.2 特殊情况下，在原投标有效期期满之前，采购人或者采购代理机构可征得投标人同意延长投标有效期。</w:t>
      </w:r>
    </w:p>
    <w:p w14:paraId="3FE8998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7" w:name="_Toc132880277"/>
      <w:r>
        <w:rPr>
          <w:rFonts w:hint="eastAsia" w:ascii="黑体" w:hAnsi="黑体" w:eastAsia="黑体" w:cs="黑体"/>
          <w:color w:val="auto"/>
          <w:highlight w:val="none"/>
        </w:rPr>
        <w:t>四、投标文件递交</w:t>
      </w:r>
      <w:bookmarkEnd w:id="7"/>
    </w:p>
    <w:p w14:paraId="47EED061">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12</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投标文件递交</w:t>
      </w:r>
    </w:p>
    <w:p w14:paraId="23B63AA3">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12.1 投标人应当在</w:t>
      </w:r>
      <w:r>
        <w:rPr>
          <w:rFonts w:hint="default" w:ascii="Times New Roman" w:hAnsi="Times New Roman" w:cs="Times New Roman"/>
          <w:b/>
          <w:color w:val="auto"/>
          <w:sz w:val="21"/>
          <w:szCs w:val="21"/>
          <w:highlight w:val="none"/>
        </w:rPr>
        <w:t>投标人须知前附表</w:t>
      </w:r>
      <w:r>
        <w:rPr>
          <w:rFonts w:hint="default" w:ascii="Times New Roman" w:hAnsi="Times New Roman" w:cs="Times New Roman"/>
          <w:color w:val="auto"/>
          <w:sz w:val="21"/>
          <w:szCs w:val="21"/>
          <w:highlight w:val="none"/>
        </w:rPr>
        <w:t>要求提交投标文件截止时间前，根据《投标人须知前附表》载明方式提交投标文件。提交投标文件截止时间后，递交投标文件的投标将被拒绝。</w:t>
      </w:r>
    </w:p>
    <w:p w14:paraId="1C9CF15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12.2 线上采购项目应登录评审管理系统并使用投标工具加密上传投标文件。除上述方式之外，不接受投标人以纸质文件以及其他任何方式提交的投标文件。投标人应充分考虑网络传输时间等因素，合理安排上传时间。提交投标文件截止时间后，评审管理系统不提供投标文件上传功能。投标人未完成投标文件上传的，投标将被拒绝。</w:t>
      </w:r>
    </w:p>
    <w:p w14:paraId="06D8A56A">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13</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投标文件补充、修改或撤回</w:t>
      </w:r>
    </w:p>
    <w:p w14:paraId="3DDD10D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13.1 投标人在投标截止时间前，可以对所递交的投标文件进行补充、修改或者撤回，并书面通知采购人或者采购代理机构。补充、修改的内容应当按照招标文件要求签署、盖章、密封后，作为投标文件的组成部分。</w:t>
      </w:r>
    </w:p>
    <w:p w14:paraId="06D00FD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13.2 线上采购项目，投标人在投标截止时间前，可以登录评审管理系统对所提交的投标文件进行撤回、补充、修改、重新提交。补充、修改的内容应当按照招标文件要求签署、盖章。</w:t>
      </w:r>
    </w:p>
    <w:p w14:paraId="7FBCB5AD">
      <w:pPr>
        <w:pageBreakBefore w:val="0"/>
        <w:widowControl/>
        <w:kinsoku/>
        <w:wordWrap/>
        <w:topLinePunct/>
        <w:autoSpaceDE w:val="0"/>
        <w:autoSpaceDN w:val="0"/>
        <w:bidi w:val="0"/>
        <w:adjustRightInd w:val="0"/>
        <w:snapToGrid w:val="0"/>
        <w:spacing w:after="0" w:line="360" w:lineRule="auto"/>
        <w:ind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13.3 提交投标文件截止时间后，不支持对已提交的投标文件作任何补充、修改或者撤回。</w:t>
      </w:r>
    </w:p>
    <w:p w14:paraId="753381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8" w:name="_Toc132880278"/>
      <w:r>
        <w:rPr>
          <w:rFonts w:hint="eastAsia" w:ascii="黑体" w:hAnsi="黑体" w:eastAsia="黑体" w:cs="黑体"/>
          <w:color w:val="auto"/>
          <w:highlight w:val="none"/>
        </w:rPr>
        <w:t>五、开标与评标</w:t>
      </w:r>
      <w:bookmarkEnd w:id="8"/>
    </w:p>
    <w:p w14:paraId="206EB281">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14</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开标</w:t>
      </w:r>
    </w:p>
    <w:p w14:paraId="6C55E50A">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rPr>
        <w:t>14</w:t>
      </w:r>
      <w:r>
        <w:rPr>
          <w:rFonts w:hint="default" w:ascii="Times New Roman" w:hAnsi="Times New Roman" w:cs="Times New Roman"/>
          <w:color w:val="auto"/>
          <w:sz w:val="21"/>
          <w:szCs w:val="21"/>
          <w:highlight w:val="none"/>
        </w:rPr>
        <w:t>.1 开标在招标文件确定的提交投标文件截止时间的同一时间进行。开标地点详见</w:t>
      </w:r>
      <w:r>
        <w:rPr>
          <w:rFonts w:hint="default" w:ascii="Times New Roman" w:hAnsi="Times New Roman" w:cs="Times New Roman"/>
          <w:b/>
          <w:color w:val="auto"/>
          <w:sz w:val="21"/>
          <w:szCs w:val="21"/>
          <w:highlight w:val="none"/>
        </w:rPr>
        <w:t>投标人须知前附表</w:t>
      </w:r>
      <w:r>
        <w:rPr>
          <w:rFonts w:hint="default" w:ascii="Times New Roman" w:hAnsi="Times New Roman" w:cs="Times New Roman"/>
          <w:color w:val="auto"/>
          <w:sz w:val="21"/>
          <w:szCs w:val="21"/>
          <w:highlight w:val="none"/>
        </w:rPr>
        <w:t>。</w:t>
      </w:r>
    </w:p>
    <w:p w14:paraId="782B8951">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14.2 开标由采购人或者采购代理机构主持，邀请投标人参加。评标委员会成员不得参加开标活动。</w:t>
      </w:r>
    </w:p>
    <w:p w14:paraId="48F08566">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14.3 开标时，由投标人或者其推选的代表检查投标文件的密封情况；经确认无误后，由采购人或者采购代理机构工作人员当众拆封，宣布投标人名称、投标价格和招标文件规定的需要宣布的其他内容。</w:t>
      </w:r>
    </w:p>
    <w:p w14:paraId="2CF21F69">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14.4 开标过程由采购人或者采购代理机构负责记录，由参加开标的各投标人代表和相关工作人员签字确认后随采购文件一并存档。投标人未参加开标的，视同认可开标结果。</w:t>
      </w:r>
    </w:p>
    <w:p w14:paraId="68545BD7">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14.5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3C37DE5">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14.6 在政府采购活动中，采购人员及相关人员与投标人有下列利害关系之一的，应当回避：</w:t>
      </w:r>
    </w:p>
    <w:p w14:paraId="35ACC018">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（1）参加采购活动前3年内与投标人存在劳动关系；</w:t>
      </w:r>
    </w:p>
    <w:p w14:paraId="06284714">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（2）参加采购活动前3年内担任投标人的董事、监事；</w:t>
      </w:r>
    </w:p>
    <w:p w14:paraId="0BBA1538">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（3）参加采购活动前3年内是投标人的控股股东或者实际控制人；</w:t>
      </w:r>
    </w:p>
    <w:p w14:paraId="7C07C53B">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（4）与投标人的法定代表人或者负责人有夫妻、直系血亲、三代以内旁系血亲或者近姻亲关系；</w:t>
      </w:r>
    </w:p>
    <w:p w14:paraId="0F5E2DC8">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（5）与投标人有其他可能影响政府采购活动公平、公正进行的关系。</w:t>
      </w:r>
    </w:p>
    <w:p w14:paraId="70DF13C1">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认为采购人员及相关人员（包括评标委员会的组成人员）与其他投标人有利害关系的，可以向采购人或者采购代理机构书面提出回避申请，并说明理由。采购人或者采购代理机构应当及时询问被申请回避人员，有利害关系的被申请回避人员应当回避。</w:t>
      </w:r>
    </w:p>
    <w:p w14:paraId="3731C2E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14.7 对线上采购项目，</w:t>
      </w:r>
      <w:r>
        <w:rPr>
          <w:rFonts w:hint="default" w:ascii="Times New Roman" w:hAnsi="Times New Roman" w:eastAsia="宋体" w:cs="Times New Roman"/>
          <w:color w:val="auto"/>
          <w:sz w:val="21"/>
          <w:szCs w:val="21"/>
          <w:highlight w:val="none"/>
        </w:rPr>
        <w:t>采购人</w:t>
      </w:r>
      <w:r>
        <w:rPr>
          <w:rFonts w:hint="default" w:ascii="Times New Roman" w:hAnsi="Times New Roman" w:cs="Times New Roman"/>
          <w:color w:val="auto"/>
          <w:sz w:val="21"/>
          <w:szCs w:val="21"/>
          <w:highlight w:val="none"/>
        </w:rPr>
        <w:t>或者采购代理机构</w:t>
      </w:r>
      <w:r>
        <w:rPr>
          <w:rFonts w:hint="default" w:ascii="Times New Roman" w:hAnsi="Times New Roman" w:eastAsia="宋体" w:cs="Times New Roman"/>
          <w:color w:val="auto"/>
          <w:sz w:val="21"/>
          <w:szCs w:val="21"/>
          <w:highlight w:val="none"/>
        </w:rPr>
        <w:t>将在</w:t>
      </w:r>
      <w:r>
        <w:rPr>
          <w:rFonts w:hint="default" w:ascii="Times New Roman" w:hAnsi="Times New Roman" w:eastAsia="宋体" w:cs="Times New Roman"/>
          <w:b/>
          <w:color w:val="auto"/>
          <w:sz w:val="21"/>
          <w:szCs w:val="21"/>
          <w:highlight w:val="none"/>
        </w:rPr>
        <w:t>投标人须知前附表</w:t>
      </w:r>
      <w:r>
        <w:rPr>
          <w:rFonts w:hint="default" w:ascii="Times New Roman" w:hAnsi="Times New Roman" w:eastAsia="宋体" w:cs="Times New Roman"/>
          <w:color w:val="auto"/>
          <w:sz w:val="21"/>
          <w:szCs w:val="21"/>
          <w:highlight w:val="none"/>
        </w:rPr>
        <w:t>规定的时间进行电子开标，采购人</w:t>
      </w:r>
      <w:r>
        <w:rPr>
          <w:rFonts w:hint="default" w:ascii="Times New Roman" w:hAnsi="Times New Roman" w:cs="Times New Roman"/>
          <w:color w:val="auto"/>
          <w:sz w:val="21"/>
          <w:szCs w:val="21"/>
          <w:highlight w:val="none"/>
        </w:rPr>
        <w:t>或者采购代理机构</w:t>
      </w:r>
      <w:r>
        <w:rPr>
          <w:rFonts w:hint="default" w:ascii="Times New Roman" w:hAnsi="Times New Roman" w:eastAsia="宋体" w:cs="Times New Roman"/>
          <w:color w:val="auto"/>
          <w:sz w:val="21"/>
          <w:szCs w:val="21"/>
          <w:highlight w:val="none"/>
        </w:rPr>
        <w:t>将对开标、评标现场活动进行全程录音录像，音像资料作为采购文件一并存档。开标由采购人</w:t>
      </w:r>
      <w:r>
        <w:rPr>
          <w:rFonts w:hint="default" w:ascii="Times New Roman" w:hAnsi="Times New Roman" w:cs="Times New Roman"/>
          <w:color w:val="auto"/>
          <w:sz w:val="21"/>
          <w:szCs w:val="21"/>
          <w:highlight w:val="none"/>
        </w:rPr>
        <w:t>或者采购代理机构</w:t>
      </w:r>
      <w:r>
        <w:rPr>
          <w:rFonts w:hint="default" w:ascii="Times New Roman" w:hAnsi="Times New Roman" w:eastAsia="宋体" w:cs="Times New Roman"/>
          <w:color w:val="auto"/>
          <w:sz w:val="21"/>
          <w:szCs w:val="21"/>
          <w:highlight w:val="none"/>
        </w:rPr>
        <w:t>主持，投标人通过登录评审管理系统进入开标大厅远程参加。</w:t>
      </w:r>
    </w:p>
    <w:p w14:paraId="410A1467">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15</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投标资格审查</w:t>
      </w:r>
    </w:p>
    <w:p w14:paraId="72C79692">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15.1 公开招标采购项目开标结束后，由采购人或者采购代理机构依法对投标人的资格进行审查，以确定投标人是否具备投标资格。</w:t>
      </w:r>
    </w:p>
    <w:p w14:paraId="6B6B957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15.1.1 审查投标人按照8.2.1提交的</w:t>
      </w:r>
      <w:r>
        <w:rPr>
          <w:rFonts w:hint="default" w:ascii="Times New Roman" w:hAnsi="Times New Roman" w:eastAsia="宋体" w:cs="Times New Roman"/>
          <w:b/>
          <w:color w:val="auto"/>
          <w:sz w:val="21"/>
          <w:szCs w:val="21"/>
          <w:highlight w:val="none"/>
        </w:rPr>
        <w:t>“资格证明文件”</w:t>
      </w:r>
      <w:r>
        <w:rPr>
          <w:rFonts w:hint="default" w:ascii="Times New Roman" w:hAnsi="Times New Roman" w:eastAsia="宋体" w:cs="Times New Roman"/>
          <w:color w:val="auto"/>
          <w:sz w:val="21"/>
          <w:szCs w:val="21"/>
          <w:highlight w:val="none"/>
        </w:rPr>
        <w:t>。</w:t>
      </w:r>
    </w:p>
    <w:p w14:paraId="106521A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15.1.2 信用记录审查。</w:t>
      </w:r>
      <w:r>
        <w:rPr>
          <w:rFonts w:hint="default" w:ascii="Times New Roman" w:hAnsi="Times New Roman" w:eastAsia="宋体" w:cs="Times New Roman"/>
          <w:b/>
          <w:bCs/>
          <w:color w:val="auto"/>
          <w:sz w:val="21"/>
          <w:szCs w:val="21"/>
          <w:highlight w:val="none"/>
        </w:rPr>
        <w:t>见投标人须知前附表。</w:t>
      </w:r>
    </w:p>
    <w:p w14:paraId="7C9CF05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15.2 未通过资格审查的投标人，其投标无效。</w:t>
      </w:r>
    </w:p>
    <w:p w14:paraId="55F8E9D6">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15.3 合格投标人不足3家的，不得评标。</w:t>
      </w:r>
    </w:p>
    <w:p w14:paraId="6AA9702A">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16</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评标委员会的组成</w:t>
      </w:r>
    </w:p>
    <w:p w14:paraId="6ED7D3C7">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16.1 采购人或者采购代理机构根据有关法律法规规定组建评标委员会，评标委员会由采购人代表和评审专家组成。</w:t>
      </w:r>
    </w:p>
    <w:p w14:paraId="69038862">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17</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投标符合性审查</w:t>
      </w:r>
    </w:p>
    <w:p w14:paraId="4791C8D3">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17.1 评标委员会对符合资格的投标人的投标文件进行符合性审查，以确定其是否符合招标文件的商务、技术等实质性要求。</w:t>
      </w:r>
    </w:p>
    <w:p w14:paraId="69D3A34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17.2 未通过符合性审查的投标人，其投标无效。</w:t>
      </w:r>
    </w:p>
    <w:p w14:paraId="56483D3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17.3 通过符合性审查的投标人不足3家的，应予以废标。</w:t>
      </w:r>
    </w:p>
    <w:p w14:paraId="5A7AF426">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18</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投标文件的澄清</w:t>
      </w:r>
    </w:p>
    <w:p w14:paraId="14A9DB53">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18.1对于投标文件中含义不明确、同类问题表述不一致或者有明显文字和计算错误的内容，评标委员会应当以书面形式要求投标人作出必要的澄清、说明或者补正。</w:t>
      </w:r>
    </w:p>
    <w:p w14:paraId="4A9AD93C">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18.2投标人的澄清、说明或者补正应当采用书面形式，并加盖公章，或者由法定代表人或其授权的代表签字。（线上采购项目的通过评审管理系统上传加盖电子公章的扫描件）。投标人的澄清、说明或者补正不得超出投标文件的范围或者改变投标文件的实质性内容。</w:t>
      </w:r>
    </w:p>
    <w:p w14:paraId="6F287BE5">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18.3关于投标描述（即投标文件中描述的内容）</w:t>
      </w:r>
    </w:p>
    <w:p w14:paraId="448398D0">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（1）投标描述前后不一致且不涉及证明材料的：按照本节第18.1条规定执行。</w:t>
      </w:r>
    </w:p>
    <w:p w14:paraId="15A1C56F">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（2）投标描述与证明材料不一致或多份证明材料之间不一致的：</w:t>
      </w:r>
    </w:p>
    <w:p w14:paraId="18DA2291">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①评标委员会将要求投标人进行书面澄清，无法澄清的将按照不利于投标人的内容进行评标。</w:t>
      </w:r>
    </w:p>
    <w:p w14:paraId="0AA32349">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②投标人按照要求进行澄清的，采购人以澄清内容为准进行验收；投标人未按照要求进行澄清的，采购人以投标描述或证明材料中有利于采购人的内容进行验收。投标人应对证明材料的真实性、有效性承担责任。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52B6923">
      <w:pPr>
        <w:pStyle w:val="20"/>
        <w:pageBreakBefore w:val="0"/>
        <w:widowControl w:val="0"/>
        <w:kinsoku/>
        <w:wordWrap/>
        <w:bidi w:val="0"/>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3EBC48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18.4 除评标委员会要求投标人做出的澄清、说明或者补正以外，评标委员会不接受投标人的任何询问、说明、更改及文件。</w:t>
      </w:r>
    </w:p>
    <w:p w14:paraId="0B23D86E">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18.5 投标人的澄清必须在规定的时间内提交。</w:t>
      </w:r>
    </w:p>
    <w:p w14:paraId="07687CD9">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19</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核价原则</w:t>
      </w:r>
    </w:p>
    <w:p w14:paraId="3C05158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Cs/>
          <w:color w:val="auto"/>
          <w:sz w:val="21"/>
          <w:szCs w:val="21"/>
          <w:highlight w:val="none"/>
        </w:rPr>
        <w:t xml:space="preserve">19.1 </w:t>
      </w:r>
      <w:r>
        <w:rPr>
          <w:rFonts w:hint="default" w:ascii="Times New Roman" w:hAnsi="Times New Roman" w:eastAsia="宋体" w:cs="Times New Roman"/>
          <w:color w:val="auto"/>
          <w:sz w:val="21"/>
          <w:szCs w:val="21"/>
          <w:highlight w:val="none"/>
        </w:rPr>
        <w:t>投标文件报价出现前后不一致的，除招标文件另有规定外，按照下列规定修正：</w:t>
      </w:r>
    </w:p>
    <w:p w14:paraId="484EBA44">
      <w:pPr>
        <w:pageBreakBefore w:val="0"/>
        <w:kinsoku/>
        <w:wordWrap/>
        <w:overflowPunct w:val="0"/>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（1）投标文件中开标一览表（总报价表）内容与投标文件中相应内容不一致的，以开标一览表（总报价表）为准；</w:t>
      </w:r>
    </w:p>
    <w:p w14:paraId="245F05E1">
      <w:pPr>
        <w:pageBreakBefore w:val="0"/>
        <w:kinsoku/>
        <w:wordWrap/>
        <w:overflowPunct w:val="0"/>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（2）大写金额和小写金额不一致的，以大写金额为准；</w:t>
      </w:r>
    </w:p>
    <w:p w14:paraId="2C2B4F46">
      <w:pPr>
        <w:pageBreakBefore w:val="0"/>
        <w:kinsoku/>
        <w:wordWrap/>
        <w:overflowPunct w:val="0"/>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（3）单价金额小数点或者百分比有明显错位的，以开标一览表的总价为准，并修改单价；</w:t>
      </w:r>
    </w:p>
    <w:p w14:paraId="1FB5CB84">
      <w:pPr>
        <w:pageBreakBefore w:val="0"/>
        <w:kinsoku/>
        <w:wordWrap/>
        <w:overflowPunct w:val="0"/>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（4）总价金额与按单价汇总金额不一致的，以单价金额计算结果为准。</w:t>
      </w:r>
    </w:p>
    <w:p w14:paraId="3BE933E5">
      <w:pPr>
        <w:pageBreakBefore w:val="0"/>
        <w:kinsoku/>
        <w:wordWrap/>
        <w:overflowPunct w:val="0"/>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（5）同时出现两种以上不一致的，按照前款规定的顺序修正。修正后的报价按照18.2条的规定经投标人确认后产生约束力，投标人不确认的，其投标无效。</w:t>
      </w:r>
    </w:p>
    <w:p w14:paraId="51F315B8">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20</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投标无效</w:t>
      </w:r>
    </w:p>
    <w:p w14:paraId="4B3BEED7">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20.1 投标人及投标文件有下列情况之一的，应当在资格审查时按照投标无效处理：</w:t>
      </w:r>
    </w:p>
    <w:p w14:paraId="6004476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不具备招标文件中规定的资格要求的；</w:t>
      </w:r>
    </w:p>
    <w:p w14:paraId="4AF065AE">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投标文件组成中“资格证明文件”未提供或无效的；</w:t>
      </w:r>
    </w:p>
    <w:p w14:paraId="02B400C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 未通过信用记录审查或未提供相关证明材料的。</w:t>
      </w:r>
    </w:p>
    <w:p w14:paraId="1DB7770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20.2 投标人及投标文件有下列情况之一的，应当在符合性审查时按照投标无效处理：</w:t>
      </w:r>
    </w:p>
    <w:p w14:paraId="76F3F17C">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投标文件组成中除“资格证明文件”外，★条款相关文件及资料未提供或提供无效的；</w:t>
      </w:r>
    </w:p>
    <w:p w14:paraId="7DDC6C93">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投标文件未按招标文件要求签署、盖章的；</w:t>
      </w:r>
    </w:p>
    <w:p w14:paraId="6C6D96B2">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 投标报价超过招标文件中规定的预算金额或者最高限价的；</w:t>
      </w:r>
    </w:p>
    <w:p w14:paraId="2FAF1C29">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 投标有效期不足的；</w:t>
      </w:r>
    </w:p>
    <w:p w14:paraId="2FED66B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 投标文件含有采购人不能接受的附加条件的；</w:t>
      </w:r>
    </w:p>
    <w:p w14:paraId="61CC2B2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20.3 除20.1及20.2情形外，投标人及投标文件有下列情况之一的，应当按照投标无效处理：</w:t>
      </w:r>
    </w:p>
    <w:p w14:paraId="75C1A65C">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 提供虚假投标文件材料的；</w:t>
      </w:r>
    </w:p>
    <w:p w14:paraId="7CEB65D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 投标人串通投标的；</w:t>
      </w:r>
    </w:p>
    <w:p w14:paraId="46FC906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 投标报价明显低于其他通过符合性审查投标人的报价，且不能证明其报价合理性的。</w:t>
      </w:r>
    </w:p>
    <w:p w14:paraId="5D2E6DBA">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 法律、法规和招标文件规定的其他无效情形。</w:t>
      </w:r>
    </w:p>
    <w:p w14:paraId="64C7E063">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21</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比较与评价</w:t>
      </w:r>
    </w:p>
    <w:p w14:paraId="41298BE4">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21.1 评标委员会按照招标文件中规定的评标方法和标准，对符合性审查合格的投标文件进行商务和技术评估，综合比较与评价。</w:t>
      </w:r>
    </w:p>
    <w:p w14:paraId="7C15BE0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21.2 价格分应当采用低价优先法计算。小型、微型企业和监狱企业、残疾人福利性单位的投标报价按照</w:t>
      </w:r>
      <w:r>
        <w:rPr>
          <w:rFonts w:hint="default" w:ascii="Times New Roman" w:hAnsi="Times New Roman" w:eastAsia="宋体" w:cs="Times New Roman"/>
          <w:b/>
          <w:color w:val="auto"/>
          <w:sz w:val="21"/>
          <w:szCs w:val="21"/>
          <w:highlight w:val="none"/>
        </w:rPr>
        <w:t>投标人须知前附表</w:t>
      </w:r>
      <w:r>
        <w:rPr>
          <w:rFonts w:hint="default" w:ascii="Times New Roman" w:hAnsi="Times New Roman" w:eastAsia="宋体" w:cs="Times New Roman"/>
          <w:color w:val="auto"/>
          <w:sz w:val="21"/>
          <w:szCs w:val="21"/>
          <w:highlight w:val="none"/>
        </w:rPr>
        <w:t>规定，分别给予扣除，并以扣除后的报价计算价格分。未提供《中小型企业声明函》、《监狱企业证明文件》、《残疾人福利性单位声明函》的，价格不予扣除。同一投标人不得重复享受价格扣除政策。</w:t>
      </w:r>
    </w:p>
    <w:p w14:paraId="239268B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21.3 评标委员会各成员独立对每个投标人的投标文件进行评价，并汇总得出每个投标人的评审得分。</w:t>
      </w:r>
    </w:p>
    <w:p w14:paraId="58251B57">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21.4 评标结果按评审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CA64E1E">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21.5 评标方法及标准</w:t>
      </w:r>
      <w:r>
        <w:rPr>
          <w:rFonts w:hint="default" w:ascii="Times New Roman" w:hAnsi="Times New Roman" w:eastAsia="宋体" w:cs="Times New Roman"/>
          <w:b/>
          <w:color w:val="auto"/>
          <w:sz w:val="21"/>
          <w:szCs w:val="21"/>
          <w:highlight w:val="none"/>
        </w:rPr>
        <w:t>详见招标文件商务部分第三章。</w:t>
      </w:r>
    </w:p>
    <w:p w14:paraId="39C760C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21.6 评标委员会成员应当在评标报告上签字，对自己的评审意见承担法律责任。评标委员会成员对需要共同认定的事项存在争议的，应当按照少数服从多数的原则作出结论。持不同意见的评标委员会成员应当在评标报告上签署不同意见及理由，否则视为同意评标报告。</w:t>
      </w:r>
    </w:p>
    <w:p w14:paraId="30697138">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22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b/>
          <w:color w:val="auto"/>
          <w:sz w:val="21"/>
          <w:szCs w:val="21"/>
          <w:highlight w:val="none"/>
        </w:rPr>
        <w:t>废标</w:t>
      </w:r>
    </w:p>
    <w:p w14:paraId="1DF64DA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22.1 在招标采购中，出现下列情形之一的，应予废标：</w:t>
      </w:r>
    </w:p>
    <w:p w14:paraId="3D329724">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（1）符合专业条件的供应商或者对招标文件作实质响应的供应商不足三家的；</w:t>
      </w:r>
    </w:p>
    <w:p w14:paraId="493DE4B6">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（2）出现影响采购公正的违法、违规行为的；</w:t>
      </w:r>
    </w:p>
    <w:p w14:paraId="7EAEBAD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（3）投标人的报价均超过了采购预算，采购人不能支付的；</w:t>
      </w:r>
    </w:p>
    <w:p w14:paraId="275F34EC">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（4）因重大变故，采购任务取消的。</w:t>
      </w:r>
    </w:p>
    <w:p w14:paraId="4191C2E8">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22.2 废标后，采购人或者采购代理机构将废标理由通知所有投标人。</w:t>
      </w:r>
    </w:p>
    <w:p w14:paraId="02161F8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9" w:name="_Toc132880279"/>
      <w:r>
        <w:rPr>
          <w:rFonts w:hint="eastAsia" w:ascii="黑体" w:hAnsi="黑体" w:eastAsia="黑体" w:cs="黑体"/>
          <w:color w:val="auto"/>
          <w:highlight w:val="none"/>
        </w:rPr>
        <w:t>六、中标和合同</w:t>
      </w:r>
      <w:bookmarkEnd w:id="9"/>
    </w:p>
    <w:p w14:paraId="6ED179BF">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23</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中标</w:t>
      </w:r>
    </w:p>
    <w:p w14:paraId="5D0DE2AD">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23.1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C484EB3">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采购人自行组织招标的，采购人应当在评标结束后5个工作日内，按评标报告推荐的中标候选人顺序确定中标人。</w:t>
      </w:r>
    </w:p>
    <w:p w14:paraId="36E965B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23.2 采购人或者采购代理机构应当自中标人确定之日起2个工作日内，在</w:t>
      </w:r>
      <w:r>
        <w:rPr>
          <w:rFonts w:hint="default" w:ascii="Times New Roman" w:hAnsi="Times New Roman" w:cs="Times New Roman"/>
          <w:b/>
          <w:color w:val="auto"/>
          <w:sz w:val="21"/>
          <w:szCs w:val="21"/>
          <w:highlight w:val="none"/>
        </w:rPr>
        <w:t>投标人须知前附表</w:t>
      </w:r>
      <w:r>
        <w:rPr>
          <w:rFonts w:hint="default" w:ascii="Times New Roman" w:hAnsi="Times New Roman" w:cs="Times New Roman"/>
          <w:color w:val="auto"/>
          <w:sz w:val="21"/>
          <w:szCs w:val="21"/>
          <w:highlight w:val="none"/>
        </w:rPr>
        <w:t>规定的媒体上公告中标结果，招标文件应随中标结果同时公告。中标公告期限为1个工作日。</w:t>
      </w:r>
    </w:p>
    <w:p w14:paraId="679EF69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23.3 在公告中标结果的同时，采购人或者采购代理机构应当向中标人发出中标通知书（对线上采购项目，通过评审管理系统发出中标通知书）；对未通过资格审查的投标人，告知其未通过的原因；采用综合评分法评审的，同时告知未中标人本人的评审得分与排序。</w:t>
      </w:r>
    </w:p>
    <w:p w14:paraId="6C1249E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23.4 中标通知书发出后，采购人或者采购代理机构不得违法改变中标结果，中标人无正当理由不得放弃中标。</w:t>
      </w:r>
    </w:p>
    <w:p w14:paraId="14D14D4C">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23.5 中标通知书对采购人和中标人具有同等法律效力。</w:t>
      </w:r>
    </w:p>
    <w:p w14:paraId="6693233C">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24</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签订合同</w:t>
      </w:r>
    </w:p>
    <w:p w14:paraId="085B827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24.1 采购人应当自中标通知书发出之日起30日内，按照招标文件和中标人投标文件的规定，与中标人签订合同。</w:t>
      </w:r>
      <w:r>
        <w:rPr>
          <w:rFonts w:hint="default" w:ascii="Times New Roman" w:hAnsi="Times New Roman" w:cs="Times New Roman"/>
          <w:color w:val="auto"/>
          <w:sz w:val="21"/>
          <w:szCs w:val="21"/>
          <w:highlight w:val="none"/>
          <w:u w:val="single"/>
        </w:rPr>
        <w:t>线上采购项目可通过评审管理系统签订合同</w:t>
      </w:r>
      <w:r>
        <w:rPr>
          <w:rFonts w:hint="default" w:ascii="Times New Roman" w:hAnsi="Times New Roman" w:cs="Times New Roman"/>
          <w:color w:val="auto"/>
          <w:sz w:val="21"/>
          <w:szCs w:val="21"/>
          <w:highlight w:val="none"/>
        </w:rPr>
        <w:t>。</w:t>
      </w:r>
    </w:p>
    <w:p w14:paraId="6A1808C5">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24.2 所签订的合同不得对招标文件确定的事项和中标人投标文件作实质性修改。</w:t>
      </w:r>
    </w:p>
    <w:p w14:paraId="6E8A5451">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24.3 采购人不得向中标人提出任何不合理的要求作为签订合同的条件。</w:t>
      </w:r>
    </w:p>
    <w:p w14:paraId="29C59ED6">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24.4 中标人拒绝与采购人签订合同的，采购人可以按照评审报告推荐的中标候选人名单排序，确定下一候选人为中标人，也可以重新开展政府采购活动。</w:t>
      </w:r>
    </w:p>
    <w:p w14:paraId="49395835">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25</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履约保证金</w:t>
      </w:r>
    </w:p>
    <w:p w14:paraId="6F6D73D3">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25.1 需提交履约保证金的项目，中标人应在合同签订之日起30日内，按照</w:t>
      </w:r>
      <w:r>
        <w:rPr>
          <w:rFonts w:hint="default" w:ascii="Times New Roman" w:hAnsi="Times New Roman" w:cs="Times New Roman"/>
          <w:b/>
          <w:color w:val="auto"/>
          <w:sz w:val="21"/>
          <w:szCs w:val="21"/>
          <w:highlight w:val="none"/>
        </w:rPr>
        <w:t>投标人须知前附表</w:t>
      </w:r>
      <w:r>
        <w:rPr>
          <w:rFonts w:hint="default" w:ascii="Times New Roman" w:hAnsi="Times New Roman" w:cs="Times New Roman"/>
          <w:color w:val="auto"/>
          <w:sz w:val="21"/>
          <w:szCs w:val="21"/>
          <w:highlight w:val="none"/>
        </w:rPr>
        <w:t>的规定，向采购人提交履约保证金。</w:t>
      </w:r>
    </w:p>
    <w:p w14:paraId="31B1D0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10" w:name="_Toc132880280"/>
      <w:r>
        <w:rPr>
          <w:rFonts w:hint="eastAsia" w:ascii="黑体" w:hAnsi="黑体" w:eastAsia="黑体" w:cs="黑体"/>
          <w:color w:val="auto"/>
          <w:highlight w:val="none"/>
        </w:rPr>
        <w:t>七、询问和质疑</w:t>
      </w:r>
      <w:bookmarkEnd w:id="10"/>
    </w:p>
    <w:p w14:paraId="2419C833">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26. 询问</w:t>
      </w:r>
    </w:p>
    <w:p w14:paraId="7472E448">
      <w:pPr>
        <w:pageBreakBefore w:val="0"/>
        <w:kinsoku/>
        <w:wordWrap/>
        <w:topLinePunct/>
        <w:autoSpaceDE w:val="0"/>
        <w:autoSpaceDN w:val="0"/>
        <w:bidi w:val="0"/>
        <w:adjustRightInd w:val="0"/>
        <w:snapToGrid w:val="0"/>
        <w:spacing w:after="0" w:line="360" w:lineRule="auto"/>
        <w:ind w:firstLine="420" w:firstLineChars="200"/>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26.1潜在投标人、投标人对政府采购活动事项有疑问的，可以向采购人或者采购代理机构提出询问，采购人或者采购代理机构应当在3个工作日内对依法提出的询问作出答复，但答复的内容不得涉及商业秘密。</w:t>
      </w:r>
    </w:p>
    <w:p w14:paraId="2C7B4AB3">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27</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质疑</w:t>
      </w:r>
    </w:p>
    <w:p w14:paraId="383BC4AC">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27.1潜在投标人、投标人（统称质疑人）认为招标文件、招标过程和中标结果使自己的权益受到损害的，可以在知道或者应知其权益受到损害之日起7个工作日内以书面形式向采购人或者采购代理机构提出质疑（线上采购项目可以通过评审管理系统提交）。联系部门、联系电话、通讯地址、电子邮箱</w:t>
      </w:r>
      <w:r>
        <w:rPr>
          <w:rFonts w:hint="default" w:ascii="Times New Roman" w:hAnsi="Times New Roman" w:cs="Times New Roman"/>
          <w:b/>
          <w:bCs/>
          <w:color w:val="auto"/>
          <w:sz w:val="21"/>
          <w:szCs w:val="21"/>
          <w:highlight w:val="none"/>
        </w:rPr>
        <w:t>见</w:t>
      </w:r>
      <w:r>
        <w:rPr>
          <w:rFonts w:hint="default" w:ascii="Times New Roman" w:hAnsi="Times New Roman" w:cs="Times New Roman"/>
          <w:b/>
          <w:color w:val="auto"/>
          <w:sz w:val="21"/>
          <w:szCs w:val="21"/>
          <w:highlight w:val="none"/>
        </w:rPr>
        <w:t>投标人须知前附表</w:t>
      </w:r>
      <w:r>
        <w:rPr>
          <w:rFonts w:hint="default" w:ascii="Times New Roman" w:hAnsi="Times New Roman" w:cs="Times New Roman"/>
          <w:color w:val="auto"/>
          <w:sz w:val="21"/>
          <w:szCs w:val="21"/>
          <w:highlight w:val="none"/>
        </w:rPr>
        <w:t>。</w:t>
      </w:r>
    </w:p>
    <w:p w14:paraId="206C82BA">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27.2在法定质疑期内，针对同一采购程序环节的质疑应一次性提出。</w:t>
      </w:r>
    </w:p>
    <w:p w14:paraId="4631526D">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27.3质疑人应知其权益受到损害之日，是指： </w:t>
      </w:r>
    </w:p>
    <w:p w14:paraId="5D4A2A0F">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（1）对可以质疑的采购文件提出质疑的，为收到采购文件之日或者采购文件公告期限届满之日；</w:t>
      </w:r>
    </w:p>
    <w:p w14:paraId="2CD059CD">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（2）对采购过程提出质疑的，为各采购程序环节结束之日；</w:t>
      </w:r>
    </w:p>
    <w:p w14:paraId="0E727FC8">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（3）对中标结果提出质疑的，为中标结果公告期限届满之日。</w:t>
      </w:r>
    </w:p>
    <w:p w14:paraId="0E5E19C0">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27.4质疑应当有明确的请求和必要的证明材料。供应商为自然人的，应当由本人签字；供应商为法人或者其他组织的，应当由法定代表人、主要负责人，或者其授权代表签字或者签章，并加盖公章。</w:t>
      </w:r>
    </w:p>
    <w:p w14:paraId="0A4A81D8">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27.5 采购人或者代理机构应当在收到供应商的质疑函后7个工作日内，对质疑内容作出答复，</w:t>
      </w:r>
      <w:r>
        <w:rPr>
          <w:rFonts w:hint="default" w:ascii="Times New Roman" w:hAnsi="Times New Roman" w:cs="Times New Roman"/>
          <w:bCs/>
          <w:color w:val="auto"/>
          <w:sz w:val="21"/>
          <w:szCs w:val="21"/>
          <w:highlight w:val="none"/>
        </w:rPr>
        <w:t>书面形式</w:t>
      </w:r>
      <w:r>
        <w:rPr>
          <w:rFonts w:hint="default" w:ascii="Times New Roman" w:hAnsi="Times New Roman" w:cs="Times New Roman"/>
          <w:color w:val="auto"/>
          <w:sz w:val="21"/>
          <w:szCs w:val="21"/>
          <w:highlight w:val="none"/>
        </w:rPr>
        <w:t>通知质疑供应商和其他有关供应商，但答复内容不得涉及商业秘密。</w:t>
      </w:r>
    </w:p>
    <w:p w14:paraId="7AAABB2A">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27.6质疑人对采购人、采购代理机构的答复不满意或者采购人、采购代理机构未在规定的时间内作出答复的，可以在答复期满后15个工作日内向同级人民政府财政部门投诉。</w:t>
      </w:r>
    </w:p>
    <w:p w14:paraId="086EDF97">
      <w:pPr>
        <w:pStyle w:val="20"/>
        <w:pageBreakBefore w:val="0"/>
        <w:widowControl w:val="0"/>
        <w:kinsoku/>
        <w:wordWrap/>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27.7投诉应当有明确的请求和必要的证明材料。投诉的事项不得超出已质疑事项的范围。</w:t>
      </w:r>
    </w:p>
    <w:p w14:paraId="3A8FD4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color w:val="auto"/>
          <w:highlight w:val="none"/>
        </w:rPr>
      </w:pPr>
      <w:bookmarkStart w:id="11" w:name="_Toc132880281"/>
      <w:r>
        <w:rPr>
          <w:rFonts w:hint="eastAsia" w:ascii="黑体" w:hAnsi="黑体" w:eastAsia="黑体" w:cs="黑体"/>
          <w:color w:val="auto"/>
          <w:highlight w:val="none"/>
        </w:rPr>
        <w:t>八、其他</w:t>
      </w:r>
      <w:bookmarkEnd w:id="11"/>
    </w:p>
    <w:p w14:paraId="4FBB35AC">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bookmarkStart w:id="12" w:name="_Toc233181902"/>
      <w:bookmarkStart w:id="13" w:name="_Toc217989361"/>
      <w:bookmarkStart w:id="14" w:name="_Toc262111390"/>
      <w:bookmarkStart w:id="15" w:name="_Toc319519285"/>
      <w:r>
        <w:rPr>
          <w:rFonts w:hint="default" w:ascii="Times New Roman" w:hAnsi="Times New Roman" w:cs="Times New Roman"/>
          <w:b/>
          <w:color w:val="auto"/>
          <w:sz w:val="21"/>
          <w:szCs w:val="21"/>
          <w:highlight w:val="none"/>
        </w:rPr>
        <w:t>28</w:t>
      </w:r>
      <w:r>
        <w:rPr>
          <w:rFonts w:hint="default" w:ascii="Times New Roman" w:hAnsi="Times New Roman" w:cs="Times New Roman"/>
          <w:color w:val="auto"/>
          <w:sz w:val="21"/>
          <w:szCs w:val="21"/>
          <w:highlight w:val="none"/>
        </w:rPr>
        <w:t>．</w:t>
      </w:r>
      <w:r>
        <w:rPr>
          <w:rFonts w:hint="default" w:ascii="Times New Roman" w:hAnsi="Times New Roman" w:cs="Times New Roman"/>
          <w:b/>
          <w:color w:val="auto"/>
          <w:sz w:val="21"/>
          <w:szCs w:val="21"/>
          <w:highlight w:val="none"/>
        </w:rPr>
        <w:t>保密</w:t>
      </w:r>
    </w:p>
    <w:p w14:paraId="35AF2025">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28.1采购人、采购代理机构应当采取必要措施，保证评标在严格保密的情况下进行。除采购人代表、评标现场组织人员外，采购人的其他工作人员以及与评标工作无关的人员不得进入评标现场。</w:t>
      </w:r>
    </w:p>
    <w:p w14:paraId="3745CD9B">
      <w:pPr>
        <w:pageBreakBefore w:val="0"/>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28.2 评标委员会成员和参与评标工作的有关人员对评标情况以及在评标过程中获悉的国家秘密、商业秘密负有保密责任。</w:t>
      </w:r>
    </w:p>
    <w:p w14:paraId="2EBE48BA">
      <w:pPr>
        <w:pageBreakBefore w:val="0"/>
        <w:kinsoku/>
        <w:wordWrap/>
        <w:topLinePunct/>
        <w:autoSpaceDE w:val="0"/>
        <w:autoSpaceDN w:val="0"/>
        <w:bidi w:val="0"/>
        <w:adjustRightInd w:val="0"/>
        <w:snapToGrid w:val="0"/>
        <w:spacing w:after="0"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29. 知识产权与规避专利、版权纠纷</w:t>
      </w:r>
      <w:bookmarkEnd w:id="12"/>
      <w:bookmarkEnd w:id="13"/>
      <w:bookmarkEnd w:id="14"/>
      <w:bookmarkEnd w:id="15"/>
    </w:p>
    <w:p w14:paraId="5A190F71">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29.1 知识产权</w:t>
      </w:r>
    </w:p>
    <w:p w14:paraId="36F46C82">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29.1.1 项目系统的版权属于采购人所有，中标人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0562F4C0">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29.2 规避专利、版权纠纷</w:t>
      </w:r>
    </w:p>
    <w:p w14:paraId="68533483">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29.2.1 投标人应保证其投标方案中的有关软件、文件、图纸等没有违反有关专利和版权等知识产权的规定。</w:t>
      </w:r>
    </w:p>
    <w:p w14:paraId="45AA649F">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29.2.2 中标人应保证采购人在中华人民共和国使用本项目成果任何一部分、或接受乙方服务时，免受第三方提出的侵犯其专利权、商标权或工业设计权等知识产权的索赔或起诉。</w:t>
      </w:r>
    </w:p>
    <w:p w14:paraId="68ED93A2">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29.2.3 如果采购人在使用本项目任何一部分时被任何第三方诉称侵犯了第三方知识产权或任何其它权利，中标人应负责处理这一指控并应以中标人的名义自负费用向起诉方提出抗辩。由此可能产生的一切法律责任和经济责任均由中标人承担。</w:t>
      </w:r>
    </w:p>
    <w:p w14:paraId="39971D20">
      <w:pPr>
        <w:pageBreakBefore w:val="0"/>
        <w:widowControl/>
        <w:kinsoku/>
        <w:wordWrap/>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29.2.4 如果采购人发现任何第三方在采购人未被许可的范围内非法使用采购人获得的知识产权，采购人应通知中标人。中标人应在收到采购人通知后14天内采取行动制止非法使用行为，否则由中标人承担相应的责任。</w:t>
      </w:r>
    </w:p>
    <w:p w14:paraId="67CF2238">
      <w:pPr>
        <w:pageBreakBefore w:val="0"/>
        <w:kinsoku/>
        <w:wordWrap/>
        <w:bidi w:val="0"/>
        <w:spacing w:line="360" w:lineRule="auto"/>
        <w:textAlignment w:val="auto"/>
        <w:rPr>
          <w:rFonts w:hint="default" w:ascii="Times New Roman" w:hAnsi="Times New Roman" w:cs="Times New Roman"/>
          <w:color w:val="auto"/>
          <w:sz w:val="21"/>
          <w:szCs w:val="21"/>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9DD84C2">
      <w:pPr>
        <w:bidi w:val="0"/>
        <w:jc w:val="center"/>
        <w:rPr>
          <w:rFonts w:hint="eastAsia" w:ascii="华文中宋" w:hAnsi="华文中宋" w:eastAsia="华文中宋" w:cs="华文中宋"/>
          <w:color w:val="auto"/>
          <w:sz w:val="28"/>
          <w:szCs w:val="28"/>
          <w:highlight w:val="none"/>
        </w:rPr>
      </w:pPr>
      <w:bookmarkStart w:id="16" w:name="_Toc1762322514"/>
      <w:bookmarkStart w:id="17" w:name="_Toc937455070"/>
      <w:bookmarkStart w:id="18" w:name="_Toc1380332034"/>
      <w:bookmarkStart w:id="19" w:name="_Toc1298913388"/>
      <w:bookmarkStart w:id="20" w:name="_Toc1481241717"/>
      <w:bookmarkStart w:id="21" w:name="_Toc132880282"/>
      <w:bookmarkStart w:id="22" w:name="_Toc1168671576"/>
      <w:bookmarkStart w:id="23" w:name="_Toc38030149"/>
      <w:bookmarkStart w:id="24" w:name="_Toc525052846"/>
      <w:r>
        <w:rPr>
          <w:rFonts w:hint="eastAsia" w:ascii="华文中宋" w:hAnsi="华文中宋" w:eastAsia="华文中宋" w:cs="华文中宋"/>
          <w:color w:val="auto"/>
          <w:sz w:val="28"/>
          <w:szCs w:val="28"/>
          <w:highlight w:val="none"/>
        </w:rPr>
        <w:t>第三章  评标方法及标准</w:t>
      </w:r>
      <w:bookmarkEnd w:id="16"/>
      <w:bookmarkEnd w:id="17"/>
      <w:bookmarkEnd w:id="18"/>
      <w:bookmarkEnd w:id="19"/>
      <w:bookmarkEnd w:id="20"/>
      <w:bookmarkEnd w:id="21"/>
      <w:bookmarkEnd w:id="22"/>
      <w:bookmarkEnd w:id="23"/>
      <w:bookmarkEnd w:id="24"/>
    </w:p>
    <w:p w14:paraId="4C82F437">
      <w:pPr>
        <w:topLinePunct/>
        <w:autoSpaceDE w:val="0"/>
        <w:autoSpaceDN w:val="0"/>
        <w:adjustRightInd w:val="0"/>
        <w:snapToGrid w:val="0"/>
        <w:spacing w:after="0" w:line="360" w:lineRule="auto"/>
        <w:ind w:firstLine="422" w:firstLineChars="20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1.评标方法</w:t>
      </w:r>
    </w:p>
    <w:p w14:paraId="7D5DAAB1">
      <w:pPr>
        <w:widowControl/>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 本项目评标方法：</w:t>
      </w:r>
      <w:r>
        <w:rPr>
          <w:rFonts w:hint="default" w:ascii="Times New Roman" w:hAnsi="Times New Roman" w:cs="Times New Roman"/>
          <w:b/>
          <w:color w:val="auto"/>
          <w:sz w:val="21"/>
          <w:szCs w:val="21"/>
          <w:highlight w:val="none"/>
          <w:u w:val="single"/>
        </w:rPr>
        <w:t>采用综合评分法</w:t>
      </w:r>
    </w:p>
    <w:p w14:paraId="0674F271">
      <w:pPr>
        <w:topLinePunct/>
        <w:autoSpaceDE w:val="0"/>
        <w:autoSpaceDN w:val="0"/>
        <w:adjustRightInd w:val="0"/>
        <w:snapToGrid w:val="0"/>
        <w:spacing w:after="0" w:line="360" w:lineRule="auto"/>
        <w:ind w:firstLine="422" w:firstLineChars="20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2.评标标准</w:t>
      </w:r>
    </w:p>
    <w:p w14:paraId="6A9326FD">
      <w:pPr>
        <w:pStyle w:val="20"/>
        <w:widowControl w:val="0"/>
        <w:spacing w:line="360" w:lineRule="auto"/>
        <w:ind w:firstLine="420" w:firstLineChars="200"/>
        <w:jc w:val="both"/>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 本项目</w:t>
      </w:r>
      <w:r>
        <w:rPr>
          <w:rFonts w:hint="default" w:ascii="Times New Roman" w:hAnsi="Times New Roman" w:cs="Times New Roman"/>
          <w:b/>
          <w:color w:val="auto"/>
          <w:sz w:val="21"/>
          <w:szCs w:val="21"/>
          <w:highlight w:val="none"/>
          <w:u w:val="single"/>
        </w:rPr>
        <w:t>采用综合评分法</w:t>
      </w:r>
      <w:r>
        <w:rPr>
          <w:rFonts w:hint="default" w:ascii="Times New Roman" w:hAnsi="Times New Roman" w:cs="Times New Roman"/>
          <w:color w:val="auto"/>
          <w:sz w:val="21"/>
          <w:szCs w:val="21"/>
          <w:highlight w:val="none"/>
        </w:rPr>
        <w:t>进行评标，综合评分法是指投标文件满足招标文件全部实质性要求，且按照评审因素的量化指标评审得分最高的投标人为中标候选人的评标方法。评审因素主要内容如下表。</w:t>
      </w:r>
    </w:p>
    <w:p w14:paraId="57273A85">
      <w:pPr>
        <w:topLinePunct/>
        <w:autoSpaceDE w:val="0"/>
        <w:autoSpaceDN w:val="0"/>
        <w:spacing w:after="0" w:line="360" w:lineRule="auto"/>
        <w:ind w:firstLine="420" w:firstLineChars="200"/>
        <w:rPr>
          <w:rFonts w:hint="default" w:ascii="Times New Roman" w:hAnsi="Times New Roman" w:cs="Times New Roman"/>
          <w:color w:val="auto"/>
          <w:sz w:val="21"/>
          <w:szCs w:val="21"/>
          <w:highlight w:val="none"/>
          <w:lang w:val="en-US"/>
        </w:rPr>
      </w:pPr>
      <w:r>
        <w:rPr>
          <w:rFonts w:hint="default" w:ascii="Times New Roman" w:hAnsi="Times New Roman" w:cs="Times New Roman"/>
          <w:color w:val="auto"/>
          <w:sz w:val="21"/>
          <w:szCs w:val="21"/>
          <w:highlight w:val="none"/>
        </w:rPr>
        <w:t>2.2 本项目价</w:t>
      </w:r>
      <w:r>
        <w:rPr>
          <w:rFonts w:hint="eastAsia" w:ascii="Times New Roman" w:hAnsi="Times New Roman" w:cs="Times New Roman"/>
          <w:color w:val="auto"/>
          <w:sz w:val="21"/>
          <w:szCs w:val="21"/>
          <w:highlight w:val="none"/>
          <w:lang w:val="en-US" w:eastAsia="zh-CN"/>
        </w:rPr>
        <w:t>格评审因素</w:t>
      </w:r>
      <w:r>
        <w:rPr>
          <w:rFonts w:hint="eastAsia"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商务因素</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技术因素</w:t>
      </w:r>
      <w:r>
        <w:rPr>
          <w:rFonts w:hint="eastAsia" w:ascii="Times New Roman" w:hAnsi="Times New Roman" w:cs="Times New Roman"/>
          <w:color w:val="auto"/>
          <w:sz w:val="21"/>
          <w:szCs w:val="21"/>
          <w:highlight w:val="none"/>
          <w:lang w:val="en-US" w:eastAsia="zh-CN"/>
        </w:rPr>
        <w:t>3部分组成，总分100分。</w:t>
      </w:r>
    </w:p>
    <w:p w14:paraId="671B41B5">
      <w:pPr>
        <w:pStyle w:val="20"/>
        <w:widowControl w:val="0"/>
        <w:spacing w:line="360" w:lineRule="auto"/>
        <w:ind w:firstLine="420" w:firstLineChars="200"/>
        <w:jc w:val="both"/>
        <w:rPr>
          <w:rFonts w:ascii="宋体" w:hAnsi="宋体" w:cs="宋体"/>
          <w:sz w:val="21"/>
          <w:szCs w:val="21"/>
        </w:rPr>
      </w:pPr>
      <w:r>
        <w:rPr>
          <w:rFonts w:hint="eastAsia" w:ascii="宋体" w:hAnsi="宋体" w:cs="宋体"/>
          <w:sz w:val="21"/>
          <w:szCs w:val="21"/>
          <w:lang w:val="en-US" w:eastAsia="zh-CN"/>
        </w:rPr>
        <w:t>2.2.</w:t>
      </w:r>
      <w:r>
        <w:rPr>
          <w:rFonts w:ascii="宋体" w:hAnsi="宋体" w:cs="宋体"/>
          <w:sz w:val="21"/>
          <w:szCs w:val="21"/>
        </w:rPr>
        <w:t>1.采购包1（</w:t>
      </w:r>
      <w:r>
        <w:rPr>
          <w:rFonts w:hint="eastAsia" w:ascii="宋体" w:hAnsi="宋体" w:cs="宋体"/>
          <w:sz w:val="21"/>
          <w:szCs w:val="21"/>
        </w:rPr>
        <w:t>蔬菜、</w:t>
      </w:r>
      <w:r>
        <w:rPr>
          <w:rFonts w:hint="eastAsia" w:ascii="宋体" w:hAnsi="宋体" w:cs="宋体"/>
          <w:sz w:val="21"/>
          <w:szCs w:val="21"/>
          <w:lang w:eastAsia="zh-CN"/>
        </w:rPr>
        <w:t>豆制品</w:t>
      </w:r>
      <w:r>
        <w:rPr>
          <w:rFonts w:hint="eastAsia" w:ascii="宋体" w:hAnsi="宋体" w:cs="宋体"/>
          <w:sz w:val="21"/>
          <w:szCs w:val="21"/>
        </w:rPr>
        <w:t>、</w:t>
      </w:r>
      <w:r>
        <w:rPr>
          <w:rFonts w:hint="eastAsia" w:ascii="宋体" w:hAnsi="宋体" w:cs="宋体"/>
          <w:sz w:val="21"/>
          <w:szCs w:val="21"/>
          <w:lang w:eastAsia="zh-CN"/>
        </w:rPr>
        <w:t>海鲜、冻品食材</w:t>
      </w:r>
      <w:r>
        <w:rPr>
          <w:rFonts w:hint="eastAsia" w:ascii="宋体" w:hAnsi="宋体" w:cs="宋体"/>
          <w:sz w:val="21"/>
          <w:szCs w:val="21"/>
        </w:rPr>
        <w:t>类</w:t>
      </w:r>
      <w:r>
        <w:rPr>
          <w:rFonts w:ascii="宋体" w:hAnsi="宋体" w:cs="宋体"/>
          <w:sz w:val="21"/>
          <w:szCs w:val="21"/>
        </w:rPr>
        <w:t>）各部份评分分值分布如下：</w:t>
      </w:r>
    </w:p>
    <w:p w14:paraId="1DE17932">
      <w:pPr>
        <w:pStyle w:val="20"/>
        <w:widowControl w:val="0"/>
        <w:spacing w:line="360" w:lineRule="auto"/>
        <w:ind w:firstLine="420" w:firstLineChars="200"/>
        <w:jc w:val="both"/>
        <w:rPr>
          <w:rFonts w:ascii="宋体" w:hAnsi="宋体" w:cs="宋体"/>
          <w:sz w:val="21"/>
          <w:szCs w:val="21"/>
        </w:rPr>
      </w:pPr>
      <w:r>
        <w:rPr>
          <w:rFonts w:ascii="宋体" w:hAnsi="宋体" w:cs="宋体"/>
          <w:sz w:val="21"/>
          <w:szCs w:val="21"/>
        </w:rPr>
        <w:t>A：报价部分评分  满分15分</w:t>
      </w:r>
    </w:p>
    <w:p w14:paraId="4734D052">
      <w:pPr>
        <w:pStyle w:val="20"/>
        <w:widowControl w:val="0"/>
        <w:spacing w:line="360" w:lineRule="auto"/>
        <w:ind w:firstLine="420" w:firstLineChars="200"/>
        <w:jc w:val="both"/>
        <w:rPr>
          <w:rFonts w:ascii="宋体" w:hAnsi="宋体" w:cs="宋体"/>
          <w:sz w:val="21"/>
          <w:szCs w:val="21"/>
        </w:rPr>
      </w:pPr>
      <w:r>
        <w:rPr>
          <w:rFonts w:ascii="宋体" w:hAnsi="宋体" w:cs="宋体"/>
          <w:sz w:val="21"/>
          <w:szCs w:val="21"/>
        </w:rPr>
        <w:t>B：商务因素评分  满分24分</w:t>
      </w:r>
    </w:p>
    <w:p w14:paraId="25D0CC74">
      <w:pPr>
        <w:pStyle w:val="20"/>
        <w:widowControl w:val="0"/>
        <w:spacing w:line="360" w:lineRule="auto"/>
        <w:ind w:firstLine="420" w:firstLineChars="200"/>
        <w:jc w:val="both"/>
        <w:rPr>
          <w:rFonts w:ascii="宋体" w:hAnsi="宋体" w:cs="宋体"/>
          <w:sz w:val="21"/>
          <w:szCs w:val="21"/>
        </w:rPr>
      </w:pPr>
      <w:r>
        <w:rPr>
          <w:rFonts w:ascii="宋体" w:hAnsi="宋体" w:cs="宋体"/>
          <w:sz w:val="21"/>
          <w:szCs w:val="21"/>
        </w:rPr>
        <w:t>C：技术因素评分  满分61分</w:t>
      </w:r>
    </w:p>
    <w:p w14:paraId="551E5948">
      <w:pPr>
        <w:pStyle w:val="20"/>
        <w:widowControl w:val="0"/>
        <w:spacing w:line="360" w:lineRule="auto"/>
        <w:ind w:firstLine="420" w:firstLineChars="200"/>
        <w:jc w:val="both"/>
        <w:rPr>
          <w:rFonts w:ascii="宋体" w:hAnsi="宋体" w:cs="宋体"/>
          <w:sz w:val="21"/>
          <w:szCs w:val="21"/>
        </w:rPr>
      </w:pPr>
      <w:r>
        <w:rPr>
          <w:rFonts w:ascii="宋体" w:hAnsi="宋体" w:cs="宋体"/>
          <w:sz w:val="21"/>
          <w:szCs w:val="21"/>
        </w:rPr>
        <w:t>各评委评分B、C部分分别取算术平均值为最终得分，并取小数点后的2位数。</w:t>
      </w:r>
    </w:p>
    <w:p w14:paraId="35E5BCB4">
      <w:pPr>
        <w:pStyle w:val="20"/>
        <w:widowControl w:val="0"/>
        <w:spacing w:line="360" w:lineRule="auto"/>
        <w:ind w:firstLine="420" w:firstLineChars="200"/>
        <w:jc w:val="both"/>
        <w:rPr>
          <w:rFonts w:ascii="宋体" w:hAnsi="宋体" w:cs="宋体"/>
          <w:sz w:val="21"/>
          <w:szCs w:val="21"/>
        </w:rPr>
      </w:pPr>
      <w:r>
        <w:rPr>
          <w:rFonts w:ascii="宋体" w:hAnsi="宋体" w:cs="宋体"/>
          <w:sz w:val="21"/>
          <w:szCs w:val="21"/>
        </w:rPr>
        <w:t>综合评分：A＋B＋C：</w:t>
      </w:r>
    </w:p>
    <w:p w14:paraId="33F67F19">
      <w:pPr>
        <w:pStyle w:val="20"/>
        <w:widowControl w:val="0"/>
        <w:spacing w:line="360" w:lineRule="auto"/>
        <w:ind w:firstLine="420" w:firstLineChars="200"/>
        <w:jc w:val="both"/>
        <w:rPr>
          <w:rFonts w:ascii="宋体" w:hAnsi="宋体" w:cs="宋体"/>
          <w:sz w:val="21"/>
          <w:szCs w:val="21"/>
        </w:rPr>
      </w:pPr>
      <w:r>
        <w:rPr>
          <w:rFonts w:ascii="宋体" w:hAnsi="宋体" w:cs="宋体"/>
          <w:sz w:val="21"/>
          <w:szCs w:val="21"/>
        </w:rPr>
        <w:t>评审标准如下表：</w:t>
      </w:r>
    </w:p>
    <w:tbl>
      <w:tblPr>
        <w:tblStyle w:val="15"/>
        <w:tblW w:w="90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03"/>
        <w:gridCol w:w="770"/>
        <w:gridCol w:w="1238"/>
        <w:gridCol w:w="5677"/>
        <w:gridCol w:w="838"/>
      </w:tblGrid>
      <w:tr w14:paraId="7B07E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521F30AC">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序号</w:t>
            </w:r>
          </w:p>
        </w:tc>
        <w:tc>
          <w:tcPr>
            <w:tcW w:w="770" w:type="dxa"/>
            <w:tcBorders>
              <w:top w:val="single" w:color="auto" w:sz="4" w:space="0"/>
              <w:left w:val="single" w:color="auto" w:sz="4" w:space="0"/>
              <w:bottom w:val="single" w:color="auto" w:sz="4" w:space="0"/>
              <w:right w:val="single" w:color="auto" w:sz="4" w:space="0"/>
            </w:tcBorders>
            <w:noWrap/>
            <w:vAlign w:val="center"/>
          </w:tcPr>
          <w:p w14:paraId="0A0400CB">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评审因素</w:t>
            </w:r>
          </w:p>
        </w:tc>
        <w:tc>
          <w:tcPr>
            <w:tcW w:w="1238" w:type="dxa"/>
            <w:tcBorders>
              <w:top w:val="single" w:color="auto" w:sz="4" w:space="0"/>
              <w:left w:val="single" w:color="auto" w:sz="4" w:space="0"/>
              <w:bottom w:val="single" w:color="auto" w:sz="4" w:space="0"/>
              <w:right w:val="single" w:color="auto" w:sz="4" w:space="0"/>
            </w:tcBorders>
            <w:noWrap/>
            <w:vAlign w:val="center"/>
          </w:tcPr>
          <w:p w14:paraId="6558843C">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主要内容</w:t>
            </w:r>
          </w:p>
        </w:tc>
        <w:tc>
          <w:tcPr>
            <w:tcW w:w="5677" w:type="dxa"/>
            <w:tcBorders>
              <w:top w:val="single" w:color="auto" w:sz="4" w:space="0"/>
              <w:left w:val="single" w:color="auto" w:sz="4" w:space="0"/>
              <w:bottom w:val="single" w:color="auto" w:sz="4" w:space="0"/>
              <w:right w:val="single" w:color="auto" w:sz="4" w:space="0"/>
            </w:tcBorders>
            <w:noWrap/>
            <w:vAlign w:val="center"/>
          </w:tcPr>
          <w:p w14:paraId="6A84D873">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指标要求</w:t>
            </w:r>
          </w:p>
        </w:tc>
        <w:tc>
          <w:tcPr>
            <w:tcW w:w="838" w:type="dxa"/>
            <w:tcBorders>
              <w:top w:val="single" w:color="auto" w:sz="4" w:space="0"/>
              <w:left w:val="single" w:color="auto" w:sz="4" w:space="0"/>
              <w:bottom w:val="single" w:color="auto" w:sz="4" w:space="0"/>
              <w:right w:val="single" w:color="auto" w:sz="4" w:space="0"/>
            </w:tcBorders>
            <w:noWrap/>
            <w:vAlign w:val="center"/>
          </w:tcPr>
          <w:p w14:paraId="0D6B216D">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细项</w:t>
            </w:r>
          </w:p>
          <w:p w14:paraId="54CF0D87">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分值</w:t>
            </w:r>
          </w:p>
        </w:tc>
      </w:tr>
      <w:tr w14:paraId="6EA71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6F5DB926">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w:t>
            </w:r>
          </w:p>
        </w:tc>
        <w:tc>
          <w:tcPr>
            <w:tcW w:w="770" w:type="dxa"/>
            <w:tcBorders>
              <w:top w:val="single" w:color="auto" w:sz="4" w:space="0"/>
              <w:left w:val="single" w:color="auto" w:sz="4" w:space="0"/>
              <w:bottom w:val="single" w:color="auto" w:sz="4" w:space="0"/>
              <w:right w:val="single" w:color="auto" w:sz="4" w:space="0"/>
            </w:tcBorders>
            <w:noWrap/>
            <w:vAlign w:val="center"/>
          </w:tcPr>
          <w:p w14:paraId="504DA554">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zh-CN" w:eastAsia="zh-CN" w:bidi="ar-SA"/>
              </w:rPr>
              <w:t>投标报价</w:t>
            </w:r>
          </w:p>
        </w:tc>
        <w:tc>
          <w:tcPr>
            <w:tcW w:w="1238" w:type="dxa"/>
            <w:tcBorders>
              <w:top w:val="single" w:color="auto" w:sz="4" w:space="0"/>
              <w:left w:val="single" w:color="auto" w:sz="4" w:space="0"/>
              <w:bottom w:val="single" w:color="auto" w:sz="4" w:space="0"/>
              <w:right w:val="single" w:color="auto" w:sz="4" w:space="0"/>
            </w:tcBorders>
            <w:noWrap/>
            <w:vAlign w:val="center"/>
          </w:tcPr>
          <w:p w14:paraId="2842930D">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A</w:t>
            </w:r>
            <w:r>
              <w:rPr>
                <w:rFonts w:hint="eastAsia" w:ascii="宋体" w:hAnsi="宋体" w:eastAsia="宋体" w:cs="宋体"/>
                <w:snapToGrid/>
                <w:sz w:val="21"/>
                <w:szCs w:val="21"/>
                <w:lang w:val="zh-CN" w:eastAsia="zh-CN" w:bidi="ar-SA"/>
              </w:rPr>
              <w:t>价格</w:t>
            </w:r>
          </w:p>
          <w:p w14:paraId="3A34F507">
            <w:pPr>
              <w:pStyle w:val="2"/>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（满分15分）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0B95A144">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投标价格得分＝（评标基准价/各投标人的投标结算系数）×价格评标分值。</w:t>
            </w:r>
          </w:p>
          <w:p w14:paraId="4F0A2455">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评标基准价为满足招标文件要求且投标结算系数最低的投标报价，计算分数时四舍五入取小数点后两位。如：打8.5折，即投标结算系数为0.85。</w:t>
            </w:r>
          </w:p>
          <w:p w14:paraId="29ECA09E">
            <w:pPr>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采购人不接受投标人的恶意低价竞争，评标委员会认为投标人的报价明显低于其他通过符合性审查投标人的报价，有可能影响产品质量或者不能诚信履约的，要求其在评标现场提供书面说明，并提交相关证明材料，投标人不能证明其报价合理性的，评标委员会将对其作为无效投标处理。</w:t>
            </w:r>
          </w:p>
        </w:tc>
        <w:tc>
          <w:tcPr>
            <w:tcW w:w="838" w:type="dxa"/>
            <w:tcBorders>
              <w:top w:val="single" w:color="auto" w:sz="4" w:space="0"/>
              <w:left w:val="single" w:color="auto" w:sz="4" w:space="0"/>
              <w:bottom w:val="single" w:color="auto" w:sz="4" w:space="0"/>
              <w:right w:val="single" w:color="auto" w:sz="4" w:space="0"/>
            </w:tcBorders>
            <w:noWrap/>
            <w:vAlign w:val="center"/>
          </w:tcPr>
          <w:p w14:paraId="32C843AD">
            <w:pPr>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15</w:t>
            </w:r>
          </w:p>
        </w:tc>
      </w:tr>
      <w:tr w14:paraId="6D031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226FD01C">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c>
          <w:tcPr>
            <w:tcW w:w="770" w:type="dxa"/>
            <w:vMerge w:val="restart"/>
            <w:tcBorders>
              <w:top w:val="single" w:color="auto" w:sz="4" w:space="0"/>
              <w:left w:val="single" w:color="auto" w:sz="4" w:space="0"/>
              <w:right w:val="single" w:color="auto" w:sz="4" w:space="0"/>
            </w:tcBorders>
            <w:noWrap/>
            <w:vAlign w:val="center"/>
          </w:tcPr>
          <w:p w14:paraId="38EC5604">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商务因素</w:t>
            </w:r>
          </w:p>
        </w:tc>
        <w:tc>
          <w:tcPr>
            <w:tcW w:w="1238" w:type="dxa"/>
            <w:tcBorders>
              <w:top w:val="single" w:color="auto" w:sz="4" w:space="0"/>
              <w:left w:val="single" w:color="auto" w:sz="4" w:space="0"/>
              <w:bottom w:val="single" w:color="auto" w:sz="4" w:space="0"/>
              <w:right w:val="single" w:color="auto" w:sz="4" w:space="0"/>
            </w:tcBorders>
            <w:noWrap/>
            <w:vAlign w:val="center"/>
          </w:tcPr>
          <w:p w14:paraId="3B10FFA9">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B1.服务案例情况（满分3分）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6DCE875">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1.根据投标人自2022年1月1日以来(合同签订时间为准)已完成或正在履行的类似食材配送项目服务经验情况进行评分：每提供一份服务案例得1分，满分3分。须同时提供相关网站中标/成交公告网页截图并注明网址、中标/成交通知书复印件、采购合同文本复印件以及能够证明该项目已经采购人验收合格的相关证明文件复印件（或部分付款证明）为考评依据。未提供或提供不符合要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EEE11E6">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60F23F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50108747">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c>
          <w:tcPr>
            <w:tcW w:w="770" w:type="dxa"/>
            <w:vMerge w:val="continue"/>
            <w:tcBorders>
              <w:left w:val="single" w:color="auto" w:sz="4" w:space="0"/>
              <w:right w:val="single" w:color="auto" w:sz="4" w:space="0"/>
            </w:tcBorders>
            <w:noWrap/>
            <w:vAlign w:val="center"/>
          </w:tcPr>
          <w:p w14:paraId="0BC58372">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12ABCB6A">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B2.满意度服务（满分3分）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5CA7DB13">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2.根据投标人提供的自2022年1月1日至投标截止时间止由投标人完成的与本项目类似（至少应包含本合同包的蔬菜、豆制品、海鲜、冻品食材类其中一项）项目（为已完成项目且满意度评价落款时间需在合同履行完成后）业主满意度服务评价情况进行打分，每提供一份肯定性评价意见（优、优秀、90分或及以上或同等意义的材料）的得1分，满分3分。需提供采购合同及加盖采购人单位公章的服务评价表复印件，同时提供服务单位联系人及固定办公电话，供采购人现场核实查验，所有材料缺一不可，否则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67AD940">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2D30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344FC86B">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4</w:t>
            </w:r>
          </w:p>
        </w:tc>
        <w:tc>
          <w:tcPr>
            <w:tcW w:w="770" w:type="dxa"/>
            <w:vMerge w:val="continue"/>
            <w:tcBorders>
              <w:left w:val="single" w:color="auto" w:sz="4" w:space="0"/>
              <w:right w:val="single" w:color="auto" w:sz="4" w:space="0"/>
            </w:tcBorders>
            <w:noWrap/>
            <w:vAlign w:val="center"/>
          </w:tcPr>
          <w:p w14:paraId="59BB7CCB">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vMerge w:val="restart"/>
            <w:tcBorders>
              <w:top w:val="single" w:color="auto" w:sz="4" w:space="0"/>
              <w:left w:val="single" w:color="auto" w:sz="4" w:space="0"/>
              <w:right w:val="single" w:color="auto" w:sz="4" w:space="0"/>
            </w:tcBorders>
            <w:noWrap/>
            <w:vAlign w:val="center"/>
          </w:tcPr>
          <w:p w14:paraId="21FE8F8E">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B3.企业认证体系（满分12分）</w:t>
            </w:r>
          </w:p>
        </w:tc>
        <w:tc>
          <w:tcPr>
            <w:tcW w:w="5677" w:type="dxa"/>
            <w:tcBorders>
              <w:top w:val="single" w:color="auto" w:sz="4" w:space="0"/>
              <w:left w:val="single" w:color="auto" w:sz="4" w:space="0"/>
              <w:bottom w:val="single" w:color="auto" w:sz="4" w:space="0"/>
              <w:right w:val="single" w:color="auto" w:sz="4" w:space="0"/>
            </w:tcBorders>
            <w:noWrap/>
            <w:vAlign w:val="top"/>
          </w:tcPr>
          <w:p w14:paraId="3F00DFA3">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3.1投标人具备食品安全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E487120">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0EAFD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28CECE56">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5</w:t>
            </w:r>
          </w:p>
        </w:tc>
        <w:tc>
          <w:tcPr>
            <w:tcW w:w="770" w:type="dxa"/>
            <w:vMerge w:val="continue"/>
            <w:tcBorders>
              <w:left w:val="single" w:color="auto" w:sz="4" w:space="0"/>
              <w:right w:val="single" w:color="auto" w:sz="4" w:space="0"/>
            </w:tcBorders>
            <w:noWrap/>
            <w:vAlign w:val="center"/>
          </w:tcPr>
          <w:p w14:paraId="3724F199">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04612753">
            <w:pPr>
              <w:spacing w:line="400" w:lineRule="exac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22418BB3">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3.2投标人具备质量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EF449E7">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44566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332A65C3">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c>
          <w:tcPr>
            <w:tcW w:w="770" w:type="dxa"/>
            <w:vMerge w:val="continue"/>
            <w:tcBorders>
              <w:left w:val="single" w:color="auto" w:sz="4" w:space="0"/>
              <w:right w:val="single" w:color="auto" w:sz="4" w:space="0"/>
            </w:tcBorders>
            <w:noWrap/>
            <w:vAlign w:val="center"/>
          </w:tcPr>
          <w:p w14:paraId="2B8E66C8">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7A026690">
            <w:pPr>
              <w:spacing w:line="400" w:lineRule="exac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5694953D">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3.3投标人具备环境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AF9F6A1">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77570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7111DDEB">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7</w:t>
            </w:r>
          </w:p>
        </w:tc>
        <w:tc>
          <w:tcPr>
            <w:tcW w:w="770" w:type="dxa"/>
            <w:vMerge w:val="continue"/>
            <w:tcBorders>
              <w:left w:val="single" w:color="auto" w:sz="4" w:space="0"/>
              <w:right w:val="single" w:color="auto" w:sz="4" w:space="0"/>
            </w:tcBorders>
            <w:noWrap/>
            <w:vAlign w:val="center"/>
          </w:tcPr>
          <w:p w14:paraId="209DEDF0">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1EF21FA2">
            <w:pPr>
              <w:spacing w:line="400" w:lineRule="exac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44B6014F">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3.4投标人具备职业健康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149A81F">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5C3B5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10465E1D">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8</w:t>
            </w:r>
          </w:p>
        </w:tc>
        <w:tc>
          <w:tcPr>
            <w:tcW w:w="770" w:type="dxa"/>
            <w:vMerge w:val="continue"/>
            <w:tcBorders>
              <w:left w:val="single" w:color="auto" w:sz="4" w:space="0"/>
              <w:right w:val="single" w:color="auto" w:sz="4" w:space="0"/>
            </w:tcBorders>
            <w:noWrap/>
            <w:vAlign w:val="center"/>
          </w:tcPr>
          <w:p w14:paraId="5BB40C34">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7CB725CE">
            <w:pPr>
              <w:spacing w:line="400" w:lineRule="exac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2FCCFBD7">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3.5投标人具备HACCP（危害分析及关键控制点，确保食品在生产、加工、制造、准备等过程中的安全）体系认证证书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C95C072">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2ED18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75CAAC5D">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9</w:t>
            </w:r>
          </w:p>
        </w:tc>
        <w:tc>
          <w:tcPr>
            <w:tcW w:w="770" w:type="dxa"/>
            <w:vMerge w:val="continue"/>
            <w:tcBorders>
              <w:left w:val="single" w:color="auto" w:sz="4" w:space="0"/>
              <w:right w:val="single" w:color="auto" w:sz="4" w:space="0"/>
            </w:tcBorders>
            <w:noWrap/>
            <w:vAlign w:val="center"/>
          </w:tcPr>
          <w:p w14:paraId="4D08C265">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single" w:color="auto" w:sz="4" w:space="0"/>
              <w:right w:val="single" w:color="auto" w:sz="4" w:space="0"/>
            </w:tcBorders>
            <w:noWrap/>
            <w:vAlign w:val="center"/>
          </w:tcPr>
          <w:p w14:paraId="3987AEE8">
            <w:pPr>
              <w:spacing w:line="400" w:lineRule="exac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397E394A">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3.6投标人具备供应链安全管理体系认证的得2分。须提供有效期内的认证证书复印件及招标公告发出之日至投标文件递交截止时间期间从国家认证认可监督管理委员会（www.cnca.gov.cn）或在全国认证认可信息公共服务平台(http://cx.cnca.cn)上查询显示该证书状态为“有效”的网页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EB916D9">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744D7A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0808CB6C">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10</w:t>
            </w:r>
          </w:p>
        </w:tc>
        <w:tc>
          <w:tcPr>
            <w:tcW w:w="770" w:type="dxa"/>
            <w:vMerge w:val="continue"/>
            <w:tcBorders>
              <w:left w:val="single" w:color="auto" w:sz="4" w:space="0"/>
              <w:right w:val="single" w:color="auto" w:sz="4" w:space="0"/>
            </w:tcBorders>
            <w:noWrap/>
            <w:vAlign w:val="center"/>
          </w:tcPr>
          <w:p w14:paraId="63A8E6DF">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39623C7A">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B4.售后服务方案（满分3分）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5EBE9E52">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4.根据投标人提供的售后服务方案【包含但不限于①货物的运输、装卸、配送售后服务等安排计划；②设置服务热线，专人服务，专人跟踪；③服务需求响应时间、响应方式；④临时补货程序，针对发生货物不合格、发生错送、漏送（含缺斤少两及数量不足等）等】进行评分：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7FE7106">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5ECAFE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6EBD7E16">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11</w:t>
            </w:r>
          </w:p>
        </w:tc>
        <w:tc>
          <w:tcPr>
            <w:tcW w:w="770" w:type="dxa"/>
            <w:vMerge w:val="continue"/>
            <w:tcBorders>
              <w:left w:val="single" w:color="auto" w:sz="4" w:space="0"/>
              <w:bottom w:val="single" w:color="auto" w:sz="4" w:space="0"/>
              <w:right w:val="single" w:color="auto" w:sz="4" w:space="0"/>
            </w:tcBorders>
            <w:noWrap/>
            <w:vAlign w:val="center"/>
          </w:tcPr>
          <w:p w14:paraId="78A6CD26">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6ADAAB69">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B5.食品安全险（满分3分）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5F51351F">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5.为保障食品安全问题，供应商承诺成交后为采购人购买食品安全责任险，且赔偿限额≥800万元的得3分；500万元≤赔偿限额＜800万元得2分；300万元≤赔偿限额＜500万元得1分，供应商需提供承诺函，承诺合同签订后30日内提供有效的保险合同、有效期内的食品安全保险单、购买发票复印件及付款凭证，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AB06A80">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31C31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5F939177">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12</w:t>
            </w:r>
          </w:p>
        </w:tc>
        <w:tc>
          <w:tcPr>
            <w:tcW w:w="770" w:type="dxa"/>
            <w:vMerge w:val="restart"/>
            <w:tcBorders>
              <w:left w:val="single" w:color="auto" w:sz="4" w:space="0"/>
              <w:right w:val="single" w:color="auto" w:sz="4" w:space="0"/>
            </w:tcBorders>
            <w:noWrap/>
            <w:vAlign w:val="center"/>
          </w:tcPr>
          <w:p w14:paraId="17D5F90C">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技术因素</w:t>
            </w:r>
          </w:p>
        </w:tc>
        <w:tc>
          <w:tcPr>
            <w:tcW w:w="1238" w:type="dxa"/>
            <w:tcBorders>
              <w:left w:val="single" w:color="auto" w:sz="4" w:space="0"/>
              <w:right w:val="single" w:color="auto" w:sz="4" w:space="0"/>
            </w:tcBorders>
            <w:noWrap/>
            <w:vAlign w:val="center"/>
          </w:tcPr>
          <w:p w14:paraId="4014EA6E">
            <w:pPr>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C1.人员配置（满分3分）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DB10301">
            <w:pPr>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1.因本项目需采购的品种多且数量大，为保障服务品质及正常履约的需要，根据投标人对本项目拟投服务人员配置、分工情况进行评议，分工情况覆盖采购、清洗、简单预处理、包装、运输、配送、搬运、售后等各个环节，同时提供人员配置清单（格式自拟）并根据岗位分工制定工作流程图得3分，岗位分工不全，或者提供的材料有缺漏的不得分。（工作流程图中不相邻岗位人员可以重复，人员配置不得低于3人，并设1名固定项目经理）。投标人须同时提供①投标截止时间前六个月（不含投标截止时间当月）中任意一个月投标人为人员缴纳社保的证明材料；若投标人为投标截止时间的当月成立的公司可提供依法缴纳社会保障资金承诺书（格式自拟）；②所有拟派服务人员劳动合同、有效身份证、有效的健康证复印件，运输岗位需增加提供驾驶证复印件。未提供或提供不全的均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A494450">
            <w:pPr>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40CB7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39F39EA3">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13</w:t>
            </w:r>
          </w:p>
        </w:tc>
        <w:tc>
          <w:tcPr>
            <w:tcW w:w="770" w:type="dxa"/>
            <w:vMerge w:val="continue"/>
            <w:tcBorders>
              <w:left w:val="single" w:color="auto" w:sz="4" w:space="0"/>
              <w:right w:val="single" w:color="auto" w:sz="4" w:space="0"/>
            </w:tcBorders>
            <w:noWrap/>
            <w:vAlign w:val="top"/>
          </w:tcPr>
          <w:p w14:paraId="32AFEEFF">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restart"/>
            <w:tcBorders>
              <w:left w:val="single" w:color="auto" w:sz="4" w:space="0"/>
              <w:right w:val="single" w:color="auto" w:sz="4" w:space="0"/>
            </w:tcBorders>
            <w:noWrap/>
            <w:vAlign w:val="center"/>
          </w:tcPr>
          <w:p w14:paraId="2B6C2E1C">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C2.服务运营方案（满分15分）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2EAF7F3F">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C2.1产品质量保障方案</w:t>
            </w:r>
          </w:p>
          <w:p w14:paraId="2E9BC457">
            <w:pPr>
              <w:widowControl/>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各投标人针对本项目提供的运营方案（方案应有完整健全的规章制度等，包括但不限于价格管理、物资采购来源、仓储管理、成品储藏、加工包装、食品检验、食品安全追溯、卫生监督管理、质量保证措施、文明服务、风险控制等），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5AB6D7E">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DC870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50506DC8">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14</w:t>
            </w:r>
          </w:p>
        </w:tc>
        <w:tc>
          <w:tcPr>
            <w:tcW w:w="770" w:type="dxa"/>
            <w:vMerge w:val="continue"/>
            <w:tcBorders>
              <w:left w:val="single" w:color="auto" w:sz="4" w:space="0"/>
              <w:right w:val="single" w:color="auto" w:sz="4" w:space="0"/>
            </w:tcBorders>
            <w:noWrap/>
            <w:vAlign w:val="top"/>
          </w:tcPr>
          <w:p w14:paraId="0082147F">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624677FD">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12693C86">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C2.2配送方案</w:t>
            </w:r>
          </w:p>
          <w:p w14:paraId="649301E0">
            <w:pPr>
              <w:widowControl/>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针对本项目在满足对应采购包要求的基础上所制定的更优的配送方案（包括但不限于配送、运输方案、配送流程图、配送时间响应、配送保障措施等各项管理制度的完备性），同时供应商须出具承诺函，承诺“全年无休、全天候供货和服务，能及时退货、换货、补货”，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05AC6D5">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59DDE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3" w:type="dxa"/>
            <w:tcBorders>
              <w:top w:val="single" w:color="auto" w:sz="4" w:space="0"/>
              <w:left w:val="single" w:color="auto" w:sz="4" w:space="0"/>
              <w:right w:val="single" w:color="auto" w:sz="4" w:space="0"/>
            </w:tcBorders>
            <w:noWrap/>
            <w:vAlign w:val="center"/>
          </w:tcPr>
          <w:p w14:paraId="6C7F74F1">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15</w:t>
            </w:r>
          </w:p>
        </w:tc>
        <w:tc>
          <w:tcPr>
            <w:tcW w:w="770" w:type="dxa"/>
            <w:vMerge w:val="continue"/>
            <w:tcBorders>
              <w:left w:val="single" w:color="auto" w:sz="4" w:space="0"/>
              <w:right w:val="single" w:color="auto" w:sz="4" w:space="0"/>
            </w:tcBorders>
            <w:noWrap/>
            <w:vAlign w:val="top"/>
          </w:tcPr>
          <w:p w14:paraId="2396C495">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2635412D">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72253D91">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C2.3退换补货服务方案</w:t>
            </w:r>
          </w:p>
          <w:p w14:paraId="386FD05D">
            <w:pPr>
              <w:widowControl/>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各投标人针对本项目提供的退换货服务方案（包括但不限于对不符合采购人要求货物的退换货、对质量不合格货物的退换货、临时采购及缺斤少两的补货、相关补偿措施、提供可替代货物、提供其他帮助等），由评标委员会进行评议：①方案详细、具体、完整，可操作性强，清晰阐述以上内容的得3分；方案较为完整，具备较好的可操作性，能基本阐述以上内容的得2分；方案内容简单、可操作性一般的得1分；未提供方案或内容明显不适用于本项目需求的不得分；②退换补货服务承诺时间：小于等于15分钟的，得3分；小于等于30分钟的得2分；小于等于40分钟的，得1分；其他不得分。（供应商须提供承诺函，否则不得分）。</w:t>
            </w:r>
          </w:p>
        </w:tc>
        <w:tc>
          <w:tcPr>
            <w:tcW w:w="838" w:type="dxa"/>
            <w:tcBorders>
              <w:top w:val="single" w:color="auto" w:sz="4" w:space="0"/>
              <w:left w:val="single" w:color="auto" w:sz="4" w:space="0"/>
              <w:right w:val="single" w:color="auto" w:sz="4" w:space="0"/>
            </w:tcBorders>
            <w:noWrap/>
            <w:vAlign w:val="center"/>
          </w:tcPr>
          <w:p w14:paraId="45EC0B7B">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38CA9C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503" w:type="dxa"/>
            <w:tcBorders>
              <w:top w:val="single" w:color="auto" w:sz="4" w:space="0"/>
              <w:left w:val="single" w:color="auto" w:sz="4" w:space="0"/>
              <w:right w:val="single" w:color="auto" w:sz="4" w:space="0"/>
            </w:tcBorders>
            <w:noWrap/>
            <w:vAlign w:val="center"/>
          </w:tcPr>
          <w:p w14:paraId="6BB6AAAF">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16</w:t>
            </w:r>
          </w:p>
        </w:tc>
        <w:tc>
          <w:tcPr>
            <w:tcW w:w="770" w:type="dxa"/>
            <w:vMerge w:val="restart"/>
            <w:tcBorders>
              <w:left w:val="single" w:color="auto" w:sz="4" w:space="0"/>
              <w:right w:val="single" w:color="auto" w:sz="4" w:space="0"/>
            </w:tcBorders>
            <w:noWrap/>
            <w:vAlign w:val="center"/>
          </w:tcPr>
          <w:p w14:paraId="4F0C6FF7">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技术因素</w:t>
            </w:r>
          </w:p>
        </w:tc>
        <w:tc>
          <w:tcPr>
            <w:tcW w:w="1238" w:type="dxa"/>
            <w:vMerge w:val="continue"/>
            <w:tcBorders>
              <w:left w:val="single" w:color="auto" w:sz="4" w:space="0"/>
              <w:bottom w:val="single" w:color="auto" w:sz="8" w:space="0"/>
              <w:right w:val="single" w:color="auto" w:sz="4" w:space="0"/>
            </w:tcBorders>
            <w:noWrap/>
            <w:vAlign w:val="center"/>
          </w:tcPr>
          <w:p w14:paraId="0F30893B">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451DB106">
            <w:pPr>
              <w:widowControl/>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C2.4应急方案</w:t>
            </w:r>
          </w:p>
          <w:p w14:paraId="3F272933">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各投标人针对本项目提供的应急方案（包括但不限于临时任务、节假日、重要或大型活动、防洪防台风、自然灾害、停水停电、疫情等情况下的应急预备方案及食物中毒事件应急处理方案），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right w:val="single" w:color="auto" w:sz="4" w:space="0"/>
            </w:tcBorders>
            <w:noWrap/>
            <w:vAlign w:val="center"/>
          </w:tcPr>
          <w:p w14:paraId="53020A95">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5A5143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7038A506">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17</w:t>
            </w:r>
          </w:p>
        </w:tc>
        <w:tc>
          <w:tcPr>
            <w:tcW w:w="770" w:type="dxa"/>
            <w:vMerge w:val="continue"/>
            <w:tcBorders>
              <w:left w:val="single" w:color="auto" w:sz="4" w:space="0"/>
              <w:right w:val="single" w:color="auto" w:sz="4" w:space="0"/>
            </w:tcBorders>
            <w:noWrap/>
            <w:vAlign w:val="top"/>
          </w:tcPr>
          <w:p w14:paraId="51AFFBCE">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restart"/>
            <w:tcBorders>
              <w:left w:val="single" w:color="auto" w:sz="4" w:space="0"/>
              <w:bottom w:val="nil"/>
              <w:right w:val="single" w:color="auto" w:sz="4" w:space="0"/>
            </w:tcBorders>
            <w:noWrap/>
            <w:vAlign w:val="center"/>
          </w:tcPr>
          <w:p w14:paraId="73F72216">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C3.仓储能力（满分15分）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6E9D562">
            <w:pPr>
              <w:snapToGrid w:val="0"/>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C3.1仓储场所</w:t>
            </w:r>
          </w:p>
          <w:p w14:paraId="5E667B32">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自有或租赁的仓储场所（不含低温仓储仓库）总面积的情况进行评分：面积≥500平方米的得4分；200平方米≤面积＜500平方米的得3分；面积＜200平方米的得2分。自有产权的须提供有效的不动产产权证明；租赁的须提供有效的租赁合同（租赁期不得少于1年）、投标截止时间前三个月内任一个月（不含投标截止当月）双方租赁资金往来的证明、租金发票、场所实地（含内部、外部）照片、不动产产权证明。若为无偿租赁的还须提供税务部门对该项无偿租赁事项征收增值税的完税证明及投标截止时间前六个月内任意连续一个月（不含投标截止时间的当月）物流出仓记录。投标截止时间当月有偿（无偿）租赁的，提供租赁合同及场所实地（含内部、外部）照片、不动产产权证明视为满足上述条件，未提供或未提供齐全本项不得分。</w:t>
            </w:r>
          </w:p>
          <w:p w14:paraId="4DEC7B78">
            <w:pPr>
              <w:widowControl/>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注：技术评分项C3.1、C3.2为同一场所的不重复加分。</w:t>
            </w:r>
          </w:p>
        </w:tc>
        <w:tc>
          <w:tcPr>
            <w:tcW w:w="838" w:type="dxa"/>
            <w:tcBorders>
              <w:left w:val="single" w:color="auto" w:sz="4" w:space="0"/>
              <w:bottom w:val="single" w:color="auto" w:sz="4" w:space="0"/>
              <w:right w:val="single" w:color="auto" w:sz="4" w:space="0"/>
            </w:tcBorders>
            <w:noWrap/>
            <w:vAlign w:val="center"/>
          </w:tcPr>
          <w:p w14:paraId="0F90DD48">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4</w:t>
            </w:r>
          </w:p>
        </w:tc>
      </w:tr>
      <w:tr w14:paraId="1D244C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02D3FAC7">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18</w:t>
            </w:r>
          </w:p>
        </w:tc>
        <w:tc>
          <w:tcPr>
            <w:tcW w:w="770" w:type="dxa"/>
            <w:vMerge w:val="continue"/>
            <w:tcBorders>
              <w:left w:val="single" w:color="auto" w:sz="4" w:space="0"/>
              <w:right w:val="single" w:color="auto" w:sz="4" w:space="0"/>
            </w:tcBorders>
            <w:noWrap/>
            <w:vAlign w:val="top"/>
          </w:tcPr>
          <w:p w14:paraId="70E2D3D5">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nil"/>
              <w:right w:val="single" w:color="auto" w:sz="4" w:space="0"/>
            </w:tcBorders>
            <w:noWrap/>
            <w:vAlign w:val="center"/>
          </w:tcPr>
          <w:p w14:paraId="148C9DCC">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61628059">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C3.2低温仓储仓库</w:t>
            </w:r>
          </w:p>
          <w:p w14:paraId="71F7131C">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自有或租赁的低温仓储仓库（保鲜、冷藏）的仓储场所总面积的情况进行评分，提供仓储面积大小进行评议：面积≥300平方米的得3分；100平方米≤面积＜300平方米的得2分；面积＜100平方米的得1分。自有产权的须提供有效的不动产产权证明；租赁的须提供有效的租赁合同（租赁期不得少于1年）、投标截止时间前三个月内任一个月（不含投标截止当月）双方租赁资金往来的证明、租金发票、场所实地（含内部、外部）照片、不动产产权证明。若为无偿租赁的还须提供税务部门对该项无偿租赁事项征收增值税的完税证明及投标截止时间前六个月内任意连续一个月（不含投标截止时间的当月）物流出仓记录。投标截止时间当月有偿（无偿）租赁的，提供租赁合同及场所实地（含内部、外部）照片、不动产产权证明视为满足上述条件，未提供或未提供齐全本项不得分。</w:t>
            </w:r>
          </w:p>
          <w:p w14:paraId="7E77C1A9">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注：技术评分项C3.1、C3.2为同一场所的不重复加分。</w:t>
            </w:r>
          </w:p>
        </w:tc>
        <w:tc>
          <w:tcPr>
            <w:tcW w:w="838" w:type="dxa"/>
            <w:tcBorders>
              <w:top w:val="single" w:color="auto" w:sz="4" w:space="0"/>
              <w:left w:val="single" w:color="auto" w:sz="4" w:space="0"/>
              <w:right w:val="single" w:color="auto" w:sz="4" w:space="0"/>
            </w:tcBorders>
            <w:noWrap/>
            <w:vAlign w:val="center"/>
          </w:tcPr>
          <w:p w14:paraId="3534ADD5">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6F0D7F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08396EEB">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19</w:t>
            </w:r>
          </w:p>
        </w:tc>
        <w:tc>
          <w:tcPr>
            <w:tcW w:w="770" w:type="dxa"/>
            <w:vMerge w:val="continue"/>
            <w:tcBorders>
              <w:left w:val="single" w:color="auto" w:sz="4" w:space="0"/>
              <w:right w:val="single" w:color="auto" w:sz="4" w:space="0"/>
            </w:tcBorders>
            <w:noWrap/>
            <w:vAlign w:val="top"/>
          </w:tcPr>
          <w:p w14:paraId="64E25B54">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tcBorders>
              <w:top w:val="nil"/>
              <w:left w:val="single" w:color="auto" w:sz="4" w:space="0"/>
              <w:bottom w:val="nil"/>
              <w:right w:val="single" w:color="auto" w:sz="4" w:space="0"/>
            </w:tcBorders>
            <w:noWrap/>
            <w:vAlign w:val="center"/>
          </w:tcPr>
          <w:p w14:paraId="64A49930">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363565E7">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C3.3生产基地</w:t>
            </w:r>
          </w:p>
          <w:p w14:paraId="1C186B59">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供应商具有自有（或合作）生产基地（商）的得3分。自有产权的须提供基地现场图片、自有产权证明；合作基地须提供基地现场照片、合作协议复印件，否则不得分。</w:t>
            </w:r>
          </w:p>
        </w:tc>
        <w:tc>
          <w:tcPr>
            <w:tcW w:w="838" w:type="dxa"/>
            <w:tcBorders>
              <w:top w:val="single" w:color="auto" w:sz="4" w:space="0"/>
              <w:left w:val="single" w:color="auto" w:sz="4" w:space="0"/>
              <w:right w:val="single" w:color="auto" w:sz="4" w:space="0"/>
            </w:tcBorders>
            <w:noWrap/>
            <w:vAlign w:val="center"/>
          </w:tcPr>
          <w:p w14:paraId="6518669B">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7CA4A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75ED2542">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20</w:t>
            </w:r>
          </w:p>
        </w:tc>
        <w:tc>
          <w:tcPr>
            <w:tcW w:w="770" w:type="dxa"/>
            <w:vMerge w:val="continue"/>
            <w:tcBorders>
              <w:left w:val="single" w:color="auto" w:sz="4" w:space="0"/>
              <w:right w:val="single" w:color="auto" w:sz="4" w:space="0"/>
            </w:tcBorders>
            <w:noWrap/>
            <w:vAlign w:val="top"/>
          </w:tcPr>
          <w:p w14:paraId="1FC3CAC8">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tcBorders>
              <w:top w:val="nil"/>
              <w:left w:val="single" w:color="auto" w:sz="4" w:space="0"/>
              <w:bottom w:val="single" w:color="auto" w:sz="4" w:space="0"/>
              <w:right w:val="single" w:color="auto" w:sz="4" w:space="0"/>
            </w:tcBorders>
            <w:noWrap/>
            <w:vAlign w:val="center"/>
          </w:tcPr>
          <w:p w14:paraId="4174266E">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645B05BA">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C3.4生产或仓储环境</w:t>
            </w:r>
          </w:p>
          <w:p w14:paraId="653E74DA">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根据投标人提供的生产或储备环境情况（包括但不限于供应产品生产或仓储环境、存放区域设置合理性、防虫害措施等）进行评分：提供仓库物资存放布局图或生产区间设备布局图、</w:t>
            </w:r>
          </w:p>
          <w:p w14:paraId="3FF85425">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仓储现场环境照片、有效期内防虫害防治服务协议（或合同）、防虫害布控图、有关防虫害服务方面的结算发票材料，每提供一项佐证材料得1分，满分5分。未提供的不得分。</w:t>
            </w:r>
          </w:p>
        </w:tc>
        <w:tc>
          <w:tcPr>
            <w:tcW w:w="838" w:type="dxa"/>
            <w:tcBorders>
              <w:top w:val="single" w:color="auto" w:sz="4" w:space="0"/>
              <w:left w:val="single" w:color="auto" w:sz="4" w:space="0"/>
              <w:right w:val="single" w:color="auto" w:sz="4" w:space="0"/>
            </w:tcBorders>
            <w:noWrap/>
            <w:vAlign w:val="center"/>
          </w:tcPr>
          <w:p w14:paraId="5469CB53">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5</w:t>
            </w:r>
          </w:p>
        </w:tc>
      </w:tr>
      <w:tr w14:paraId="5D486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42E6E902">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21</w:t>
            </w:r>
          </w:p>
        </w:tc>
        <w:tc>
          <w:tcPr>
            <w:tcW w:w="770" w:type="dxa"/>
            <w:vMerge w:val="continue"/>
            <w:tcBorders>
              <w:left w:val="single" w:color="auto" w:sz="4" w:space="0"/>
              <w:right w:val="single" w:color="auto" w:sz="4" w:space="0"/>
            </w:tcBorders>
            <w:noWrap/>
            <w:vAlign w:val="top"/>
          </w:tcPr>
          <w:p w14:paraId="7CC290ED">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restart"/>
            <w:tcBorders>
              <w:top w:val="single" w:color="auto" w:sz="4" w:space="0"/>
              <w:left w:val="single" w:color="auto" w:sz="4" w:space="0"/>
              <w:right w:val="single" w:color="auto" w:sz="4" w:space="0"/>
            </w:tcBorders>
            <w:noWrap/>
            <w:vAlign w:val="center"/>
          </w:tcPr>
          <w:p w14:paraId="508BA7F3">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C4.货源保障、供货保障能力（满分12分）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36816C1">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C4.1供货能力</w:t>
            </w:r>
          </w:p>
          <w:p w14:paraId="344FBDDB">
            <w:pPr>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供货能力（重点考核货源渠道等），由评委会进行评议：提供一份包含采购包1蔬菜类供货合同的得2分，提供一份包含豆制品类供货合同的得2分，提供一份包含海鲜类供货合同的得2分，提供一份包含冻品类供货合同的得2分，满分8分,超出上述品类范围的不得分。须同时提供有效期内的采购合同复印件及投标截止时间前六个月内任一个月（不含投标截止当月）双方资金往来的证明、采购发票、采购发票上未列明具体采购货物名称的须附采购清单，若为投标截止时间当月签订的采购合同，提供采购合同复印件的视为满足上述条件。未提供或提供不全的不得分。</w:t>
            </w:r>
          </w:p>
        </w:tc>
        <w:tc>
          <w:tcPr>
            <w:tcW w:w="838" w:type="dxa"/>
            <w:tcBorders>
              <w:left w:val="single" w:color="auto" w:sz="4" w:space="0"/>
              <w:bottom w:val="single" w:color="auto" w:sz="4" w:space="0"/>
              <w:right w:val="single" w:color="auto" w:sz="4" w:space="0"/>
            </w:tcBorders>
            <w:noWrap/>
            <w:vAlign w:val="center"/>
          </w:tcPr>
          <w:p w14:paraId="47B357AB">
            <w:pPr>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8</w:t>
            </w:r>
          </w:p>
        </w:tc>
      </w:tr>
      <w:tr w14:paraId="3EC84B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29501DAE">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22</w:t>
            </w:r>
          </w:p>
        </w:tc>
        <w:tc>
          <w:tcPr>
            <w:tcW w:w="770" w:type="dxa"/>
            <w:vMerge w:val="continue"/>
            <w:tcBorders>
              <w:left w:val="single" w:color="auto" w:sz="4" w:space="0"/>
              <w:right w:val="single" w:color="auto" w:sz="4" w:space="0"/>
            </w:tcBorders>
            <w:noWrap/>
            <w:vAlign w:val="top"/>
          </w:tcPr>
          <w:p w14:paraId="2C3C41B9">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689A1B3E">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4A226148">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C4.2冷藏车</w:t>
            </w:r>
          </w:p>
          <w:p w14:paraId="26AC6877">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根据投标人在满足招标文件要求送货车配备（1辆）的基础上，增加1辆冷藏车的得1分</w:t>
            </w:r>
            <w:r>
              <w:rPr>
                <w:rFonts w:hint="eastAsia" w:ascii="宋体" w:hAnsi="宋体" w:cs="宋体"/>
                <w:snapToGrid/>
                <w:sz w:val="21"/>
                <w:szCs w:val="21"/>
                <w:lang w:val="en-US" w:eastAsia="zh-CN" w:bidi="ar-SA"/>
              </w:rPr>
              <w:t>，满分2分</w:t>
            </w:r>
            <w:r>
              <w:rPr>
                <w:rFonts w:hint="eastAsia" w:ascii="宋体" w:hAnsi="宋体" w:eastAsia="宋体" w:cs="宋体"/>
                <w:snapToGrid/>
                <w:sz w:val="21"/>
                <w:szCs w:val="21"/>
                <w:lang w:val="en-US" w:eastAsia="zh-CN" w:bidi="ar-SA"/>
              </w:rPr>
              <w:t>。须同时提供①车辆行驶证及完整的车辆登记证复印件、车辆照片（含车辆内部照片）；②自有车辆所有人应与投标人一致，租赁车辆须提供租赁或运输合同。未提供或提供不全的不得分。（所有证件需在有效期内否则不得分）</w:t>
            </w:r>
          </w:p>
          <w:p w14:paraId="7263C813">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注：技术评分项C4.2、C4.3为同一车辆的不重复得分。</w:t>
            </w:r>
          </w:p>
        </w:tc>
        <w:tc>
          <w:tcPr>
            <w:tcW w:w="838" w:type="dxa"/>
            <w:tcBorders>
              <w:top w:val="single" w:color="auto" w:sz="4" w:space="0"/>
              <w:left w:val="single" w:color="auto" w:sz="4" w:space="0"/>
              <w:right w:val="single" w:color="auto" w:sz="4" w:space="0"/>
            </w:tcBorders>
            <w:noWrap/>
            <w:vAlign w:val="center"/>
          </w:tcPr>
          <w:p w14:paraId="0BE40D18">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1AC4FA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59FD0715">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23</w:t>
            </w:r>
          </w:p>
        </w:tc>
        <w:tc>
          <w:tcPr>
            <w:tcW w:w="770" w:type="dxa"/>
            <w:vMerge w:val="continue"/>
            <w:tcBorders>
              <w:left w:val="single" w:color="auto" w:sz="4" w:space="0"/>
              <w:right w:val="single" w:color="auto" w:sz="4" w:space="0"/>
            </w:tcBorders>
            <w:noWrap/>
            <w:vAlign w:val="top"/>
          </w:tcPr>
          <w:p w14:paraId="0EB81C45">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single" w:color="auto" w:sz="4" w:space="0"/>
              <w:right w:val="single" w:color="auto" w:sz="4" w:space="0"/>
            </w:tcBorders>
            <w:noWrap/>
            <w:vAlign w:val="center"/>
          </w:tcPr>
          <w:p w14:paraId="1764E55E">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31E9F9E8">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C4.3厢式货车</w:t>
            </w:r>
          </w:p>
          <w:p w14:paraId="7A5EFBB5">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根据投标人在满足招标文件要求的厢式货车配备（1辆）的基础上，增加1辆应急保障厢式货车的得1分</w:t>
            </w:r>
            <w:r>
              <w:rPr>
                <w:rFonts w:hint="eastAsia" w:ascii="宋体" w:hAnsi="宋体" w:cs="宋体"/>
                <w:snapToGrid/>
                <w:sz w:val="21"/>
                <w:szCs w:val="21"/>
                <w:lang w:val="en-US" w:eastAsia="zh-CN" w:bidi="ar-SA"/>
              </w:rPr>
              <w:t>，满分2分</w:t>
            </w:r>
            <w:r>
              <w:rPr>
                <w:rFonts w:hint="eastAsia" w:ascii="宋体" w:hAnsi="宋体" w:eastAsia="宋体" w:cs="宋体"/>
                <w:snapToGrid/>
                <w:sz w:val="21"/>
                <w:szCs w:val="21"/>
                <w:lang w:val="en-US" w:eastAsia="zh-CN" w:bidi="ar-SA"/>
              </w:rPr>
              <w:t>。须同时提供①车辆行驶证及完整的车辆登记证复印件、车辆照片（含车辆内部照片）；②自有车辆所有人应与投标人一致，租赁车辆须提供租赁或运输合同。未提供或提供不全的不得分。（所有证件需在有效期内否则不得分）</w:t>
            </w:r>
          </w:p>
          <w:p w14:paraId="47F9B196">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注：技术评分项C4.2、C4.3为同一车辆的不重复得分。</w:t>
            </w:r>
          </w:p>
        </w:tc>
        <w:tc>
          <w:tcPr>
            <w:tcW w:w="838" w:type="dxa"/>
            <w:tcBorders>
              <w:left w:val="single" w:color="auto" w:sz="4" w:space="0"/>
              <w:bottom w:val="single" w:color="auto" w:sz="4" w:space="0"/>
              <w:right w:val="single" w:color="auto" w:sz="4" w:space="0"/>
            </w:tcBorders>
            <w:noWrap/>
            <w:vAlign w:val="center"/>
          </w:tcPr>
          <w:p w14:paraId="39D8129A">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66D068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6A3940D8">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24</w:t>
            </w:r>
          </w:p>
        </w:tc>
        <w:tc>
          <w:tcPr>
            <w:tcW w:w="770" w:type="dxa"/>
            <w:vMerge w:val="continue"/>
            <w:tcBorders>
              <w:left w:val="single" w:color="auto" w:sz="4" w:space="0"/>
              <w:right w:val="single" w:color="auto" w:sz="4" w:space="0"/>
            </w:tcBorders>
            <w:noWrap/>
            <w:vAlign w:val="top"/>
          </w:tcPr>
          <w:p w14:paraId="73A11D29">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restart"/>
            <w:tcBorders>
              <w:top w:val="single" w:color="auto" w:sz="4" w:space="0"/>
              <w:left w:val="single" w:color="auto" w:sz="4" w:space="0"/>
              <w:right w:val="single" w:color="auto" w:sz="4" w:space="0"/>
            </w:tcBorders>
            <w:noWrap/>
            <w:vAlign w:val="center"/>
          </w:tcPr>
          <w:p w14:paraId="771B1D91">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C5.食品安全保障及检验能力（满分16分）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EA30724">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C5.1检测能力</w:t>
            </w:r>
          </w:p>
          <w:p w14:paraId="175A540F">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的检测能力（自有或合作检验检测实验室）情况进行评分：实验室面积≥300平方米的得2.5分；150平方米≤实验室面积＜300平方米的得2分；实验室面积＜150平方米的得1分。须同时提供①检验检测室不动产或房产登记证明、检验检测室照片，租赁的须提供租赁协议、资金往来证明；若为无偿租赁的还须提供税务部门对该项无偿租赁事项征收增值税的完税证明。②自有的须提供检测资质证明材料，合作方的须提供合作协议、合作方的营业执照（经营范围须包含农产品检测业务）或合作方的国家认证的检测资质证明材料。投标截止时间当月有偿（无偿）租赁的，无需提供资金往来证明或税务部门对该项无偿租赁事项征收增值税的完税证明。未提供或未提供齐全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564308F">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2.5</w:t>
            </w:r>
          </w:p>
        </w:tc>
      </w:tr>
      <w:tr w14:paraId="049AC2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133AB838">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25</w:t>
            </w:r>
          </w:p>
        </w:tc>
        <w:tc>
          <w:tcPr>
            <w:tcW w:w="770" w:type="dxa"/>
            <w:vMerge w:val="continue"/>
            <w:tcBorders>
              <w:left w:val="single" w:color="auto" w:sz="4" w:space="0"/>
              <w:right w:val="single" w:color="auto" w:sz="4" w:space="0"/>
            </w:tcBorders>
            <w:noWrap/>
            <w:vAlign w:val="top"/>
          </w:tcPr>
          <w:p w14:paraId="22995449">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7B038D86">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336F7C47">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C5.2检测设备</w:t>
            </w:r>
          </w:p>
          <w:p w14:paraId="24A2995F">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能为本项目配备食品检验检疫设备情况进行评分：具备水分检测、微生物检测、食品安全检测、食品重金属检测、食品甲醛检测、农药残留检测、食品添加剂检测功能的，满足上述任意一种功能得0.5分，满分3.5分。须同时提供①配套设施设备清单、设备实物照片、设备彩页或功能介绍。②自有设备须提供购置发票，租赁设备须提供租赁合同及投标截止时间前六个月内任一个月（不含投标截止当月）双方租赁资金往来证明、租金发票，若为无偿租赁的还须提供税务部门对该项无偿租赁事项征收增值税的完税证明。若为投标截止时间当月租赁的，提供租赁合同视为满足上述条件，③承诺所购买的设备投入本项目使用（承诺函格式自拟），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08795E9">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3.5</w:t>
            </w:r>
          </w:p>
        </w:tc>
      </w:tr>
      <w:tr w14:paraId="63A5B3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3B95A98A">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26</w:t>
            </w:r>
          </w:p>
        </w:tc>
        <w:tc>
          <w:tcPr>
            <w:tcW w:w="770" w:type="dxa"/>
            <w:vMerge w:val="continue"/>
            <w:tcBorders>
              <w:left w:val="single" w:color="auto" w:sz="4" w:space="0"/>
              <w:right w:val="single" w:color="auto" w:sz="4" w:space="0"/>
            </w:tcBorders>
            <w:noWrap/>
            <w:vAlign w:val="top"/>
          </w:tcPr>
          <w:p w14:paraId="2C9A66E0">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0DD5A18C">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1DCEF376">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C5.3检测报告</w:t>
            </w:r>
          </w:p>
          <w:p w14:paraId="5E690E2B">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根据投标人提供的投标截止时间前六个月内，以投标人名义送检的涵盖采购包1蔬菜、豆制品、海鲜、冻品食材类检测报告情况进行打分：蔬菜、豆制品、海鲜、冻品食材类等任意一种品</w:t>
            </w:r>
            <w:r>
              <w:rPr>
                <w:rFonts w:hint="eastAsia" w:ascii="宋体" w:hAnsi="宋体" w:cs="宋体"/>
                <w:snapToGrid/>
                <w:sz w:val="21"/>
                <w:szCs w:val="21"/>
                <w:lang w:val="en-US" w:eastAsia="zh-CN" w:bidi="ar-SA"/>
              </w:rPr>
              <w:t>种</w:t>
            </w:r>
            <w:r>
              <w:rPr>
                <w:rFonts w:hint="eastAsia" w:ascii="宋体" w:hAnsi="宋体" w:eastAsia="宋体" w:cs="宋体"/>
                <w:snapToGrid/>
                <w:sz w:val="21"/>
                <w:szCs w:val="21"/>
                <w:lang w:val="en-US" w:eastAsia="zh-CN" w:bidi="ar-SA"/>
              </w:rPr>
              <w:t>提供一个月的检测报告得1分，品种重复的不得分，满分6分。须提供第三方机构出具的封面带有CMA或CNAS标识的检测合格报告复印件,未提供或超出采购包所含品类范围的不得分。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F75588F">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2DCD6E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0EB22170">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27</w:t>
            </w:r>
          </w:p>
        </w:tc>
        <w:tc>
          <w:tcPr>
            <w:tcW w:w="770" w:type="dxa"/>
            <w:vMerge w:val="continue"/>
            <w:tcBorders>
              <w:left w:val="single" w:color="auto" w:sz="4" w:space="0"/>
              <w:right w:val="single" w:color="auto" w:sz="4" w:space="0"/>
            </w:tcBorders>
            <w:noWrap/>
            <w:vAlign w:val="top"/>
          </w:tcPr>
          <w:p w14:paraId="319994E4">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4A0E9E30">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551F3200">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C5.4检验人员</w:t>
            </w:r>
          </w:p>
          <w:p w14:paraId="2BF9C2FE">
            <w:pPr>
              <w:snapToGrid w:val="0"/>
              <w:spacing w:line="400" w:lineRule="exac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根据投标人为本项目拟配备的具有中级（四级）及以上食品检验员（工）的，提供一名得1分</w:t>
            </w:r>
            <w:r>
              <w:rPr>
                <w:rFonts w:hint="eastAsia" w:ascii="宋体" w:hAnsi="宋体" w:cs="宋体"/>
                <w:snapToGrid/>
                <w:sz w:val="21"/>
                <w:szCs w:val="21"/>
                <w:lang w:val="en-US" w:eastAsia="zh-CN" w:bidi="ar-SA"/>
              </w:rPr>
              <w:t>，满分2分</w:t>
            </w:r>
            <w:r>
              <w:rPr>
                <w:rFonts w:hint="eastAsia" w:ascii="宋体" w:hAnsi="宋体" w:eastAsia="宋体" w:cs="宋体"/>
                <w:snapToGrid/>
                <w:sz w:val="21"/>
                <w:szCs w:val="21"/>
                <w:lang w:val="en-US" w:eastAsia="zh-CN" w:bidi="ar-SA"/>
              </w:rPr>
              <w:t>。须同时提供有效的人员证书、健康证、身份证正反面复印件及投标截止时间前六个月内（不含投标截止当月）投标人为上述人员缴纳社会保险的证明材料（社保证明材料须由社保中心出具或网上缴纳后打印签电子章），若投标人为投标截止时间的当月成立的公司可提供依法缴纳社会保障资金承诺书（格式自拟）；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F41994D">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7D72B8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503" w:type="dxa"/>
            <w:tcBorders>
              <w:top w:val="single" w:color="auto" w:sz="4" w:space="0"/>
              <w:left w:val="single" w:color="auto" w:sz="4" w:space="0"/>
              <w:bottom w:val="single" w:color="auto" w:sz="4" w:space="0"/>
              <w:right w:val="single" w:color="auto" w:sz="4" w:space="0"/>
            </w:tcBorders>
            <w:noWrap/>
            <w:vAlign w:val="center"/>
          </w:tcPr>
          <w:p w14:paraId="448339A5">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28</w:t>
            </w:r>
          </w:p>
        </w:tc>
        <w:tc>
          <w:tcPr>
            <w:tcW w:w="770" w:type="dxa"/>
            <w:vMerge w:val="continue"/>
            <w:tcBorders>
              <w:left w:val="single" w:color="auto" w:sz="4" w:space="0"/>
              <w:right w:val="single" w:color="auto" w:sz="4" w:space="0"/>
            </w:tcBorders>
            <w:noWrap/>
            <w:vAlign w:val="top"/>
          </w:tcPr>
          <w:p w14:paraId="7446A811">
            <w:pPr>
              <w:widowControl/>
              <w:overflowPunct w:val="0"/>
              <w:autoSpaceDE w:val="0"/>
              <w:autoSpaceDN w:val="0"/>
              <w:adjustRightInd w:val="0"/>
              <w:spacing w:line="400" w:lineRule="exact"/>
              <w:jc w:val="left"/>
              <w:textAlignment w:val="baseline"/>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single" w:color="auto" w:sz="4" w:space="0"/>
              <w:right w:val="single" w:color="auto" w:sz="4" w:space="0"/>
            </w:tcBorders>
            <w:noWrap/>
            <w:vAlign w:val="center"/>
          </w:tcPr>
          <w:p w14:paraId="68FF58E8">
            <w:pPr>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4D0EEBE4">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C5.5追溯管理</w:t>
            </w:r>
          </w:p>
          <w:p w14:paraId="7F4F813F">
            <w:pPr>
              <w:snapToGrid w:val="0"/>
              <w:spacing w:line="400" w:lineRule="exac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投标人按照市场监督管理部门规定的“一品一码”要求，做到食品采购信息可追溯，须按采购包1蔬菜、豆制品、海鲜、冻品食材类提供投标截止时间前三个月内任一个月（不含投标截止当月），食品生产经营追溯管理系统录入信息或相关系统录入信息, 每提供一种品类得0.5分，满分2分。须提供相关网络信息截图及网站网址，并明显标注采购包所含品类范围，同时辅以往期的进货单。</w:t>
            </w:r>
          </w:p>
        </w:tc>
        <w:tc>
          <w:tcPr>
            <w:tcW w:w="838" w:type="dxa"/>
            <w:tcBorders>
              <w:top w:val="single" w:color="auto" w:sz="4" w:space="0"/>
              <w:left w:val="single" w:color="auto" w:sz="4" w:space="0"/>
              <w:bottom w:val="single" w:color="auto" w:sz="4" w:space="0"/>
              <w:right w:val="single" w:color="auto" w:sz="4" w:space="0"/>
            </w:tcBorders>
            <w:noWrap/>
            <w:vAlign w:val="center"/>
          </w:tcPr>
          <w:p w14:paraId="7A714511">
            <w:pPr>
              <w:widowControl/>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1068E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8188" w:type="dxa"/>
            <w:gridSpan w:val="4"/>
            <w:tcBorders>
              <w:top w:val="single" w:color="auto" w:sz="4" w:space="0"/>
              <w:left w:val="single" w:color="auto" w:sz="4" w:space="0"/>
              <w:bottom w:val="single" w:color="auto" w:sz="4" w:space="0"/>
              <w:right w:val="single" w:color="auto" w:sz="4" w:space="0"/>
            </w:tcBorders>
            <w:noWrap/>
            <w:vAlign w:val="center"/>
          </w:tcPr>
          <w:p w14:paraId="149806F2">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合     计</w:t>
            </w:r>
          </w:p>
        </w:tc>
        <w:tc>
          <w:tcPr>
            <w:tcW w:w="838" w:type="dxa"/>
            <w:tcBorders>
              <w:top w:val="single" w:color="auto" w:sz="4" w:space="0"/>
              <w:left w:val="single" w:color="auto" w:sz="4" w:space="0"/>
              <w:bottom w:val="single" w:color="auto" w:sz="4" w:space="0"/>
              <w:right w:val="single" w:color="auto" w:sz="4" w:space="0"/>
            </w:tcBorders>
            <w:noWrap/>
            <w:vAlign w:val="center"/>
          </w:tcPr>
          <w:p w14:paraId="4CC7BDF9">
            <w:pPr>
              <w:widowControl/>
              <w:overflowPunct w:val="0"/>
              <w:autoSpaceDE w:val="0"/>
              <w:autoSpaceDN w:val="0"/>
              <w:adjustRightInd w:val="0"/>
              <w:spacing w:line="400" w:lineRule="exact"/>
              <w:jc w:val="center"/>
              <w:textAlignment w:val="baseline"/>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 xml:space="preserve">100 </w:t>
            </w:r>
          </w:p>
        </w:tc>
      </w:tr>
      <w:tr w14:paraId="2931B0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center"/>
          </w:tcPr>
          <w:p w14:paraId="0732D580">
            <w:pPr>
              <w:widowControl/>
              <w:spacing w:line="400" w:lineRule="exact"/>
              <w:jc w:val="left"/>
              <w:textAlignment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各投标人的商务部分得分B=B1+B2+B3+B4+B5</w:t>
            </w:r>
          </w:p>
        </w:tc>
      </w:tr>
      <w:tr w14:paraId="5F4F35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center"/>
          </w:tcPr>
          <w:p w14:paraId="7EB7C723">
            <w:pPr>
              <w:widowControl/>
              <w:spacing w:line="400" w:lineRule="exact"/>
              <w:jc w:val="left"/>
              <w:textAlignment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各投标人的技术部分得分C=C1+C2+C3+C4+C5</w:t>
            </w:r>
          </w:p>
        </w:tc>
      </w:tr>
      <w:tr w14:paraId="389AC6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top"/>
          </w:tcPr>
          <w:p w14:paraId="3D1A51B6">
            <w:pPr>
              <w:widowControl/>
              <w:spacing w:line="400" w:lineRule="exact"/>
              <w:jc w:val="left"/>
              <w:textAlignment w:val="top"/>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各投标人的最终得分为A+B+C</w:t>
            </w:r>
          </w:p>
        </w:tc>
      </w:tr>
      <w:tr w14:paraId="63C344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26" w:type="dxa"/>
            <w:gridSpan w:val="5"/>
            <w:tcBorders>
              <w:top w:val="single" w:color="auto" w:sz="4" w:space="0"/>
              <w:left w:val="single" w:color="auto" w:sz="4" w:space="0"/>
              <w:bottom w:val="single" w:color="auto" w:sz="4" w:space="0"/>
              <w:right w:val="single" w:color="auto" w:sz="4" w:space="0"/>
            </w:tcBorders>
            <w:noWrap/>
            <w:vAlign w:val="center"/>
          </w:tcPr>
          <w:p w14:paraId="3D24FAE0">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注：1.评分项中涉及的相关证明材料（如证书、公告、合同、通知书、验收证明、荣誉证明等）若有属于“可以通过互联网或者相关信息系统查询的信息”，投标人可不提供复印件，提供查询网址链接、证书编号（或提供查询所需信息）视同响应评分项要求。若评标委员会通过投标人提供的查询网址链接无法查询或查询到信息不符合招标文件要求的，评标委员会将按照不利于投标人的内容进行认定。此条款表述若与上述评分项表述有矛盾，以此条款为准。</w:t>
            </w:r>
          </w:p>
          <w:p w14:paraId="164F649F">
            <w:pPr>
              <w:widowControl/>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2.评分项中涉及的“人社部颁发的”指中华人民共和国人力资源和社会保障部或中华人民共和国人力资源和社会保障部备案公布的用人单位和社会培训评价组织颁发的均可。</w:t>
            </w:r>
          </w:p>
        </w:tc>
      </w:tr>
    </w:tbl>
    <w:p w14:paraId="50CC65E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2.2.2.采购包2（禽蛋肉类）各部份评分分值分布如下：</w:t>
      </w:r>
    </w:p>
    <w:p w14:paraId="36D8808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A：报价部分评分  满分15分</w:t>
      </w:r>
    </w:p>
    <w:p w14:paraId="791C2D6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B：商务因素评分  满分24分</w:t>
      </w:r>
    </w:p>
    <w:p w14:paraId="068034F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C：技术因素评分  满分61分</w:t>
      </w:r>
    </w:p>
    <w:p w14:paraId="7F4BD70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各评委评分B、C部分分别取算术平均值为最终得分，并取小数点后的2位数。</w:t>
      </w:r>
    </w:p>
    <w:p w14:paraId="09536CE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综合评分：A＋B＋C</w:t>
      </w:r>
    </w:p>
    <w:p w14:paraId="7E21DFF3">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评审标准如下表：</w:t>
      </w:r>
    </w:p>
    <w:tbl>
      <w:tblPr>
        <w:tblStyle w:val="15"/>
        <w:tblW w:w="9238" w:type="dxa"/>
        <w:tblInd w:w="-2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8"/>
        <w:gridCol w:w="817"/>
        <w:gridCol w:w="1238"/>
        <w:gridCol w:w="5677"/>
        <w:gridCol w:w="838"/>
      </w:tblGrid>
      <w:tr w14:paraId="6DB38C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64747177">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序号</w:t>
            </w:r>
          </w:p>
        </w:tc>
        <w:tc>
          <w:tcPr>
            <w:tcW w:w="817" w:type="dxa"/>
            <w:tcBorders>
              <w:top w:val="single" w:color="auto" w:sz="4" w:space="0"/>
              <w:left w:val="single" w:color="auto" w:sz="4" w:space="0"/>
              <w:bottom w:val="single" w:color="auto" w:sz="4" w:space="0"/>
              <w:right w:val="single" w:color="auto" w:sz="4" w:space="0"/>
            </w:tcBorders>
            <w:noWrap/>
            <w:vAlign w:val="center"/>
          </w:tcPr>
          <w:p w14:paraId="1D9EEB70">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评审因素</w:t>
            </w:r>
          </w:p>
        </w:tc>
        <w:tc>
          <w:tcPr>
            <w:tcW w:w="1238" w:type="dxa"/>
            <w:tcBorders>
              <w:top w:val="single" w:color="auto" w:sz="4" w:space="0"/>
              <w:left w:val="single" w:color="auto" w:sz="4" w:space="0"/>
              <w:bottom w:val="single" w:color="auto" w:sz="4" w:space="0"/>
              <w:right w:val="single" w:color="auto" w:sz="4" w:space="0"/>
            </w:tcBorders>
            <w:noWrap/>
            <w:vAlign w:val="center"/>
          </w:tcPr>
          <w:p w14:paraId="09F8E3A3">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主要内容</w:t>
            </w:r>
          </w:p>
        </w:tc>
        <w:tc>
          <w:tcPr>
            <w:tcW w:w="5677" w:type="dxa"/>
            <w:tcBorders>
              <w:top w:val="single" w:color="auto" w:sz="4" w:space="0"/>
              <w:left w:val="single" w:color="auto" w:sz="4" w:space="0"/>
              <w:bottom w:val="single" w:color="auto" w:sz="4" w:space="0"/>
              <w:right w:val="single" w:color="auto" w:sz="4" w:space="0"/>
            </w:tcBorders>
            <w:noWrap/>
            <w:vAlign w:val="center"/>
          </w:tcPr>
          <w:p w14:paraId="6885C14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指标要求</w:t>
            </w:r>
          </w:p>
        </w:tc>
        <w:tc>
          <w:tcPr>
            <w:tcW w:w="838" w:type="dxa"/>
            <w:tcBorders>
              <w:top w:val="single" w:color="auto" w:sz="4" w:space="0"/>
              <w:left w:val="single" w:color="auto" w:sz="4" w:space="0"/>
              <w:bottom w:val="single" w:color="auto" w:sz="4" w:space="0"/>
              <w:right w:val="single" w:color="auto" w:sz="4" w:space="0"/>
            </w:tcBorders>
            <w:noWrap/>
            <w:vAlign w:val="center"/>
          </w:tcPr>
          <w:p w14:paraId="0F563B35">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细项</w:t>
            </w:r>
          </w:p>
          <w:p w14:paraId="596E1A78">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分值</w:t>
            </w:r>
          </w:p>
        </w:tc>
      </w:tr>
      <w:tr w14:paraId="732AE5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noWrap/>
            <w:vAlign w:val="center"/>
          </w:tcPr>
          <w:p w14:paraId="2E1BE7AE">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w:t>
            </w:r>
          </w:p>
        </w:tc>
        <w:tc>
          <w:tcPr>
            <w:tcW w:w="817" w:type="dxa"/>
            <w:tcBorders>
              <w:top w:val="single" w:color="auto" w:sz="4" w:space="0"/>
              <w:left w:val="single" w:color="auto" w:sz="4" w:space="0"/>
              <w:bottom w:val="single" w:color="auto" w:sz="4" w:space="0"/>
              <w:right w:val="single" w:color="auto" w:sz="4" w:space="0"/>
            </w:tcBorders>
            <w:noWrap/>
            <w:vAlign w:val="center"/>
          </w:tcPr>
          <w:p w14:paraId="5E2A7B4F">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zh-CN" w:eastAsia="zh-CN" w:bidi="ar-SA"/>
              </w:rPr>
              <w:t>投标报价</w:t>
            </w:r>
          </w:p>
        </w:tc>
        <w:tc>
          <w:tcPr>
            <w:tcW w:w="1238" w:type="dxa"/>
            <w:tcBorders>
              <w:top w:val="single" w:color="auto" w:sz="4" w:space="0"/>
              <w:left w:val="single" w:color="auto" w:sz="4" w:space="0"/>
              <w:bottom w:val="single" w:color="auto" w:sz="4" w:space="0"/>
              <w:right w:val="single" w:color="auto" w:sz="4" w:space="0"/>
            </w:tcBorders>
            <w:noWrap/>
            <w:vAlign w:val="center"/>
          </w:tcPr>
          <w:p w14:paraId="2CCD9AE9">
            <w:pPr>
              <w:tabs>
                <w:tab w:val="center" w:pos="4890"/>
              </w:tabs>
              <w:spacing w:line="400" w:lineRule="exact"/>
              <w:jc w:val="center"/>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A</w:t>
            </w:r>
            <w:r>
              <w:rPr>
                <w:rFonts w:hint="eastAsia" w:ascii="宋体" w:hAnsi="宋体" w:eastAsia="宋体" w:cs="宋体"/>
                <w:snapToGrid/>
                <w:sz w:val="21"/>
                <w:szCs w:val="21"/>
                <w:lang w:val="zh-CN" w:eastAsia="zh-CN" w:bidi="ar-SA"/>
              </w:rPr>
              <w:t>价格</w:t>
            </w:r>
          </w:p>
        </w:tc>
        <w:tc>
          <w:tcPr>
            <w:tcW w:w="5677" w:type="dxa"/>
            <w:tcBorders>
              <w:top w:val="single" w:color="auto" w:sz="4" w:space="0"/>
              <w:left w:val="single" w:color="auto" w:sz="4" w:space="0"/>
              <w:bottom w:val="single" w:color="auto" w:sz="4" w:space="0"/>
              <w:right w:val="single" w:color="auto" w:sz="4" w:space="0"/>
            </w:tcBorders>
            <w:noWrap/>
            <w:vAlign w:val="center"/>
          </w:tcPr>
          <w:p w14:paraId="0C6B9F2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投标价格得分＝（评标基准价/各投标人的投标结算系数）×价格评标分值。</w:t>
            </w:r>
          </w:p>
          <w:p w14:paraId="0B50199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评标基准价为满足招标文件要求且投标结算系数最低的投标报价，计算分数时四舍五入取小数点后两位。如：打8.5折，即投标结算系数为0.85。</w:t>
            </w:r>
          </w:p>
          <w:p w14:paraId="401E5167">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采购人不接受投标人的恶意低价竞争，评标委员会认为投标人的报价明显低于其他通过符合性审查投标人的报价，有可能影响产品质量或者不能诚信履约的，要求其在评标现场提供书面说明，并提交相关证明材料，投标人不能证明其报价合理性的，评标委员会将对其作为无效投标处理。</w:t>
            </w:r>
          </w:p>
        </w:tc>
        <w:tc>
          <w:tcPr>
            <w:tcW w:w="838" w:type="dxa"/>
            <w:tcBorders>
              <w:top w:val="single" w:color="auto" w:sz="4" w:space="0"/>
              <w:left w:val="single" w:color="auto" w:sz="4" w:space="0"/>
              <w:bottom w:val="single" w:color="auto" w:sz="4" w:space="0"/>
              <w:right w:val="single" w:color="auto" w:sz="4" w:space="0"/>
            </w:tcBorders>
            <w:noWrap/>
            <w:vAlign w:val="center"/>
          </w:tcPr>
          <w:p w14:paraId="43EBFD91">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15</w:t>
            </w:r>
          </w:p>
        </w:tc>
      </w:tr>
      <w:tr w14:paraId="3E25B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789A745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c>
          <w:tcPr>
            <w:tcW w:w="817" w:type="dxa"/>
            <w:vMerge w:val="restart"/>
            <w:tcBorders>
              <w:top w:val="single" w:color="auto" w:sz="4" w:space="0"/>
              <w:left w:val="single" w:color="auto" w:sz="4" w:space="0"/>
              <w:right w:val="single" w:color="auto" w:sz="4" w:space="0"/>
            </w:tcBorders>
            <w:noWrap/>
            <w:vAlign w:val="center"/>
          </w:tcPr>
          <w:p w14:paraId="1DBC6ED0">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商务因素</w:t>
            </w:r>
          </w:p>
        </w:tc>
        <w:tc>
          <w:tcPr>
            <w:tcW w:w="1238" w:type="dxa"/>
            <w:tcBorders>
              <w:top w:val="single" w:color="auto" w:sz="4" w:space="0"/>
              <w:left w:val="single" w:color="auto" w:sz="4" w:space="0"/>
              <w:bottom w:val="single" w:color="auto" w:sz="4" w:space="0"/>
              <w:right w:val="single" w:color="auto" w:sz="4" w:space="0"/>
            </w:tcBorders>
            <w:noWrap/>
            <w:vAlign w:val="center"/>
          </w:tcPr>
          <w:p w14:paraId="1DA64375">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B1.服务案例情况（满分3分）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43F0F323">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1.根据投标人自2022年1月1日以来(合同签订时间为准)已完成或正在履行的类似食材配送项目服务经验情况进行评分：每提供一份服务案例得1分，满分3分。须同时提供相关网站中标/成交公告网页截图并注明网址、中标/成交通知书复印件、采购合同文本复印件以及能够证明该项目已经采购人验收合格的相关证明文件复印件（或部分付款证明）为考评依据。未提供或提供不符合要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70D8DC8A">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4C7D59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3EE7B13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c>
          <w:tcPr>
            <w:tcW w:w="817" w:type="dxa"/>
            <w:vMerge w:val="continue"/>
            <w:tcBorders>
              <w:left w:val="single" w:color="auto" w:sz="4" w:space="0"/>
              <w:right w:val="single" w:color="auto" w:sz="4" w:space="0"/>
            </w:tcBorders>
            <w:noWrap/>
            <w:vAlign w:val="center"/>
          </w:tcPr>
          <w:p w14:paraId="3EAAD0F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3F06A326">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B2.满意度服务（满分3分）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2577B27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2.根据投标人提供的自2022年1月1日至投标截止时间止由投标人完成的与本项目类似（至少应包含本合同包的禽蛋肉类其中一项）项目（为已完成项目且满意度评价落款时间需在合同履行完成后）业主满意度服务评价情况进行打分，每提供一份肯定性评价意见（优、优秀、90分或及以上或同等意义的材料）的得1分，满分3分。需提供采购合同及加盖采购人单位公章的服务评价表复印件，同时提供服务单位联系人及固定办公电话，供采购人现场核实查验，所有材料缺一不可，否则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D4C6A53">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69B77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581422B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4</w:t>
            </w:r>
          </w:p>
        </w:tc>
        <w:tc>
          <w:tcPr>
            <w:tcW w:w="817" w:type="dxa"/>
            <w:vMerge w:val="continue"/>
            <w:tcBorders>
              <w:left w:val="single" w:color="auto" w:sz="4" w:space="0"/>
              <w:right w:val="single" w:color="auto" w:sz="4" w:space="0"/>
            </w:tcBorders>
            <w:noWrap/>
            <w:vAlign w:val="center"/>
          </w:tcPr>
          <w:p w14:paraId="7C599913">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restart"/>
            <w:tcBorders>
              <w:top w:val="single" w:color="auto" w:sz="4" w:space="0"/>
              <w:left w:val="single" w:color="auto" w:sz="4" w:space="0"/>
              <w:right w:val="single" w:color="auto" w:sz="4" w:space="0"/>
            </w:tcBorders>
            <w:noWrap/>
            <w:vAlign w:val="center"/>
          </w:tcPr>
          <w:p w14:paraId="2D3D78F0">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B3.企业认证体系（满分12分）</w:t>
            </w:r>
          </w:p>
        </w:tc>
        <w:tc>
          <w:tcPr>
            <w:tcW w:w="5677" w:type="dxa"/>
            <w:tcBorders>
              <w:top w:val="single" w:color="auto" w:sz="4" w:space="0"/>
              <w:left w:val="single" w:color="auto" w:sz="4" w:space="0"/>
              <w:bottom w:val="single" w:color="auto" w:sz="4" w:space="0"/>
              <w:right w:val="single" w:color="auto" w:sz="4" w:space="0"/>
            </w:tcBorders>
            <w:noWrap/>
            <w:vAlign w:val="top"/>
          </w:tcPr>
          <w:p w14:paraId="27B1915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3.1投标人具备食品安全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C7EDC1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0BD89D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58DC04A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5</w:t>
            </w:r>
          </w:p>
        </w:tc>
        <w:tc>
          <w:tcPr>
            <w:tcW w:w="817" w:type="dxa"/>
            <w:vMerge w:val="continue"/>
            <w:tcBorders>
              <w:left w:val="single" w:color="auto" w:sz="4" w:space="0"/>
              <w:right w:val="single" w:color="auto" w:sz="4" w:space="0"/>
            </w:tcBorders>
            <w:noWrap/>
            <w:vAlign w:val="center"/>
          </w:tcPr>
          <w:p w14:paraId="24E80D28">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6BB46E3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4DB9D545">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3.2投标人具备质量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AEEB73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5F10CE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18618E5E">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c>
          <w:tcPr>
            <w:tcW w:w="817" w:type="dxa"/>
            <w:vMerge w:val="continue"/>
            <w:tcBorders>
              <w:left w:val="single" w:color="auto" w:sz="4" w:space="0"/>
              <w:right w:val="single" w:color="auto" w:sz="4" w:space="0"/>
            </w:tcBorders>
            <w:noWrap/>
            <w:vAlign w:val="center"/>
          </w:tcPr>
          <w:p w14:paraId="725D4A73">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2D340856">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5FD6A55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3.3投标人具备环境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DE288D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0EA27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2F25CA7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7</w:t>
            </w:r>
          </w:p>
        </w:tc>
        <w:tc>
          <w:tcPr>
            <w:tcW w:w="817" w:type="dxa"/>
            <w:vMerge w:val="continue"/>
            <w:tcBorders>
              <w:left w:val="single" w:color="auto" w:sz="4" w:space="0"/>
              <w:right w:val="single" w:color="auto" w:sz="4" w:space="0"/>
            </w:tcBorders>
            <w:noWrap/>
            <w:vAlign w:val="center"/>
          </w:tcPr>
          <w:p w14:paraId="15F6963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4E86BC6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588FDE2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3.4投标人具备职业健康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9F1FE0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1A5A5B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6CCEE50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8</w:t>
            </w:r>
          </w:p>
        </w:tc>
        <w:tc>
          <w:tcPr>
            <w:tcW w:w="817" w:type="dxa"/>
            <w:vMerge w:val="continue"/>
            <w:tcBorders>
              <w:left w:val="single" w:color="auto" w:sz="4" w:space="0"/>
              <w:right w:val="single" w:color="auto" w:sz="4" w:space="0"/>
            </w:tcBorders>
            <w:noWrap/>
            <w:vAlign w:val="center"/>
          </w:tcPr>
          <w:p w14:paraId="5610B29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06257E4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32667B30">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3.5投标人具备HACCP（危害分析及关键控制点，确保食品在生产、加工、制造、准备等过程中的安全）体系认证证书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3B3AAFF">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4A1D2D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33A8BD2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9</w:t>
            </w:r>
          </w:p>
        </w:tc>
        <w:tc>
          <w:tcPr>
            <w:tcW w:w="817" w:type="dxa"/>
            <w:vMerge w:val="continue"/>
            <w:tcBorders>
              <w:left w:val="single" w:color="auto" w:sz="4" w:space="0"/>
              <w:right w:val="single" w:color="auto" w:sz="4" w:space="0"/>
            </w:tcBorders>
            <w:noWrap/>
            <w:vAlign w:val="center"/>
          </w:tcPr>
          <w:p w14:paraId="06919D7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single" w:color="auto" w:sz="4" w:space="0"/>
              <w:right w:val="single" w:color="auto" w:sz="4" w:space="0"/>
            </w:tcBorders>
            <w:noWrap/>
            <w:vAlign w:val="center"/>
          </w:tcPr>
          <w:p w14:paraId="7E07236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528F1C8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3.6投标人具备供应链安全管理体系认证的得2分。须提供有效期内的认证证书复印件及招标公告发出之日至投标文件递交截止时间期间从国家认证认可监督管理委员会（www.cnca.gov.cn）或在全国认证认可信息公共服务平台(http://cx.cnca.cn)上查询显示该证书状态为“有效”的网页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4C6D061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1792A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1C1AC5BB">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10</w:t>
            </w:r>
          </w:p>
        </w:tc>
        <w:tc>
          <w:tcPr>
            <w:tcW w:w="817" w:type="dxa"/>
            <w:vMerge w:val="continue"/>
            <w:tcBorders>
              <w:left w:val="single" w:color="auto" w:sz="4" w:space="0"/>
              <w:right w:val="single" w:color="auto" w:sz="4" w:space="0"/>
            </w:tcBorders>
            <w:noWrap/>
            <w:vAlign w:val="center"/>
          </w:tcPr>
          <w:p w14:paraId="0962410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29BC2BE0">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B4.售后服务方案（满分3分）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608622E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4.根据投标人提供的售后服务方案【包含但不限于①货物的运输、装卸、配送售后服务等安排计划；②设置服务热线，专人服务，专人跟踪；③服务需求响应时间、响应方式；④临时补货程序，针对发生货物不合格、发生错送、漏送（含缺斤少两及数量不足等）等】进行评分：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F72D0E1">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501B41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76CADEA3">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11</w:t>
            </w:r>
          </w:p>
        </w:tc>
        <w:tc>
          <w:tcPr>
            <w:tcW w:w="817" w:type="dxa"/>
            <w:vMerge w:val="continue"/>
            <w:tcBorders>
              <w:left w:val="single" w:color="auto" w:sz="4" w:space="0"/>
              <w:bottom w:val="single" w:color="auto" w:sz="4" w:space="0"/>
              <w:right w:val="single" w:color="auto" w:sz="4" w:space="0"/>
            </w:tcBorders>
            <w:noWrap/>
            <w:vAlign w:val="center"/>
          </w:tcPr>
          <w:p w14:paraId="0CBACC7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tcBorders>
              <w:top w:val="single" w:color="auto" w:sz="4" w:space="0"/>
              <w:left w:val="single" w:color="auto" w:sz="4" w:space="0"/>
              <w:bottom w:val="single" w:color="auto" w:sz="4" w:space="0"/>
              <w:right w:val="single" w:color="auto" w:sz="4" w:space="0"/>
            </w:tcBorders>
            <w:noWrap/>
            <w:vAlign w:val="center"/>
          </w:tcPr>
          <w:p w14:paraId="39F217D8">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B5.食品安全险（满分3分）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61FAF1A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5.为保障食品安全问题，供应商承诺成交后为采购人购买食品安全责任险，且赔偿限额≥800万元的得3分；500万元≤赔偿限额＜800万元得2分；300万元≤赔偿限额＜500万元得1分，合同签订后30日内需提供有效的保险合同、有效期内的食品安全保险单、购买发票复印件及付款凭证，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125663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3FCD0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6B7EC1D2">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12</w:t>
            </w:r>
          </w:p>
        </w:tc>
        <w:tc>
          <w:tcPr>
            <w:tcW w:w="817" w:type="dxa"/>
            <w:vMerge w:val="restart"/>
            <w:tcBorders>
              <w:left w:val="single" w:color="auto" w:sz="4" w:space="0"/>
              <w:right w:val="single" w:color="auto" w:sz="4" w:space="0"/>
            </w:tcBorders>
            <w:noWrap/>
            <w:vAlign w:val="center"/>
          </w:tcPr>
          <w:p w14:paraId="40C7FC0E">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技术因素</w:t>
            </w:r>
          </w:p>
        </w:tc>
        <w:tc>
          <w:tcPr>
            <w:tcW w:w="1238" w:type="dxa"/>
            <w:tcBorders>
              <w:left w:val="single" w:color="auto" w:sz="4" w:space="0"/>
              <w:right w:val="single" w:color="auto" w:sz="4" w:space="0"/>
            </w:tcBorders>
            <w:noWrap/>
            <w:vAlign w:val="center"/>
          </w:tcPr>
          <w:p w14:paraId="3DB12ED7">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C1.人员配置（满分3分）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3D77AA7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1.因本项目需采购的品种多且数量大，为保障服务品质及正常履约的需要，根据投标人对本项目拟投服务人员配置、分工情况进行评议，分工情况覆盖采购、清洗、简单预处理、包装、运输、配送、搬运、售后等各个环节，同时提供人员配置清单（格式自拟）并根据岗位分工制定工作流程图得3分，岗位分工不全，或者提供的材料有缺漏的不得分。（工作流程图中不相邻岗位人员可以重复，人员配置不得低于3人，并设1名固定项目经理）。投标人须同时提供①投标截止时间前六个月（不含投标截止时间当月）中任意一个月投标人为人员缴纳社保的证明材料；若投标人为投标截止时间的当月成立的公司可提供依法缴纳社会保障资金承诺书（格式自拟）；②所有拟派服务人员劳动合同、有效身份证、有效的健康证复印件，运输岗位需增加提供驾驶证复印件。未提供或提供不全的均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B3B0C33">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379E1B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2C2628C4">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13</w:t>
            </w:r>
          </w:p>
        </w:tc>
        <w:tc>
          <w:tcPr>
            <w:tcW w:w="817" w:type="dxa"/>
            <w:vMerge w:val="continue"/>
            <w:tcBorders>
              <w:left w:val="single" w:color="auto" w:sz="4" w:space="0"/>
              <w:right w:val="single" w:color="auto" w:sz="4" w:space="0"/>
            </w:tcBorders>
            <w:noWrap/>
            <w:vAlign w:val="top"/>
          </w:tcPr>
          <w:p w14:paraId="29650DA8">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restart"/>
            <w:tcBorders>
              <w:left w:val="single" w:color="auto" w:sz="4" w:space="0"/>
              <w:right w:val="single" w:color="auto" w:sz="4" w:space="0"/>
            </w:tcBorders>
            <w:noWrap/>
            <w:vAlign w:val="center"/>
          </w:tcPr>
          <w:p w14:paraId="22C860DE">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C2.服务运营方案（满分15分）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29D7C6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C2.1产品质量保障方案</w:t>
            </w:r>
          </w:p>
          <w:p w14:paraId="4689D6C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各投标人针对本项目提供的运营方案（方案应有完整健全的规章制度等，包括但不限于价格管理、物资采购来源、仓储管理、成品储藏、加工包装、食品检验、食品安全追溯、卫生监督管理、质量保证措施、文明服务、风险控制等），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B9870D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4C6FF1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46A84A2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14</w:t>
            </w:r>
          </w:p>
        </w:tc>
        <w:tc>
          <w:tcPr>
            <w:tcW w:w="817" w:type="dxa"/>
            <w:vMerge w:val="continue"/>
            <w:tcBorders>
              <w:left w:val="single" w:color="auto" w:sz="4" w:space="0"/>
              <w:right w:val="single" w:color="auto" w:sz="4" w:space="0"/>
            </w:tcBorders>
            <w:noWrap/>
            <w:vAlign w:val="top"/>
          </w:tcPr>
          <w:p w14:paraId="1B4594C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2450D9B7">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04D2C5C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C2.2配送方案</w:t>
            </w:r>
          </w:p>
          <w:p w14:paraId="0B1ADD4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针对本项目在满足对应采购包要求的基础上所制定的更优的配送方案（包括但不限于配送、运输方案、配送流程图、配送时间响应、配送保障措施等各项管理制度的完备性），同时供应商须出具承诺函，承诺“全年无休、全天候供货和服务，能及时退货、换货、补货”，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0AB5CE07">
            <w:pPr>
              <w:tabs>
                <w:tab w:val="center" w:pos="4890"/>
              </w:tabs>
              <w:spacing w:line="400" w:lineRule="exact"/>
              <w:jc w:val="righ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0BAF2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right w:val="single" w:color="auto" w:sz="4" w:space="0"/>
            </w:tcBorders>
            <w:noWrap/>
            <w:vAlign w:val="center"/>
          </w:tcPr>
          <w:p w14:paraId="65DE3CD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15</w:t>
            </w:r>
          </w:p>
        </w:tc>
        <w:tc>
          <w:tcPr>
            <w:tcW w:w="817" w:type="dxa"/>
            <w:vMerge w:val="continue"/>
            <w:tcBorders>
              <w:left w:val="single" w:color="auto" w:sz="4" w:space="0"/>
              <w:right w:val="single" w:color="auto" w:sz="4" w:space="0"/>
            </w:tcBorders>
            <w:noWrap/>
            <w:vAlign w:val="top"/>
          </w:tcPr>
          <w:p w14:paraId="23D429B4">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78E2840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68396BD5">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C2.3退换补货服务方案</w:t>
            </w:r>
          </w:p>
          <w:p w14:paraId="71D9A3E3">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各投标人针对本项目提供的退换货服务方案（包括但不限于对不符合采购人要求货物的退换货、对质量不合格货物的退换货、临时采购及缺斤少两的补货、相关补偿措施、提供可替代货物、提供其他帮助等），由评标委员会进行评议：①方案详细、具体、完整，可操作性强，清晰阐述以上内容的得3分；方案较为完整，具备较好的可操作性，能基本阐述以上内容的得2分；方案内容简单、可操作性一般的得1分；未提供方案或内容明显不适用于本项目需求的不得分；②退换补货服务承诺时间：小于等于15分钟的，得3分；小于等于30分钟的，2分；小于等于40分钟的，得1分；其他不得分。（供应商须提供承诺函，否则不得分）。</w:t>
            </w:r>
          </w:p>
        </w:tc>
        <w:tc>
          <w:tcPr>
            <w:tcW w:w="838" w:type="dxa"/>
            <w:tcBorders>
              <w:top w:val="single" w:color="auto" w:sz="4" w:space="0"/>
              <w:left w:val="single" w:color="auto" w:sz="4" w:space="0"/>
              <w:right w:val="single" w:color="auto" w:sz="4" w:space="0"/>
            </w:tcBorders>
            <w:noWrap/>
            <w:vAlign w:val="center"/>
          </w:tcPr>
          <w:p w14:paraId="2410EB9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37575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right w:val="single" w:color="auto" w:sz="4" w:space="0"/>
            </w:tcBorders>
            <w:noWrap/>
            <w:vAlign w:val="center"/>
          </w:tcPr>
          <w:p w14:paraId="4F75075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16</w:t>
            </w:r>
          </w:p>
        </w:tc>
        <w:tc>
          <w:tcPr>
            <w:tcW w:w="817" w:type="dxa"/>
            <w:vMerge w:val="restart"/>
            <w:tcBorders>
              <w:left w:val="single" w:color="auto" w:sz="4" w:space="0"/>
              <w:right w:val="single" w:color="auto" w:sz="4" w:space="0"/>
            </w:tcBorders>
            <w:noWrap/>
            <w:vAlign w:val="center"/>
          </w:tcPr>
          <w:p w14:paraId="439F0B7B">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技术因素</w:t>
            </w:r>
          </w:p>
        </w:tc>
        <w:tc>
          <w:tcPr>
            <w:tcW w:w="1238" w:type="dxa"/>
            <w:vMerge w:val="continue"/>
            <w:tcBorders>
              <w:left w:val="single" w:color="auto" w:sz="4" w:space="0"/>
              <w:bottom w:val="single" w:color="auto" w:sz="8" w:space="0"/>
              <w:right w:val="single" w:color="auto" w:sz="4" w:space="0"/>
            </w:tcBorders>
            <w:noWrap/>
            <w:vAlign w:val="center"/>
          </w:tcPr>
          <w:p w14:paraId="3242F080">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4141102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C2.4应急方案</w:t>
            </w:r>
          </w:p>
          <w:p w14:paraId="14139A5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各投标人针对本项目提供的应急方案（包括但不限于临时任务、节假日、重要或大型活动、防洪防台风、自然灾害、停水停电、疫情等情况下的应急预备方案及食物中毒事件应急处理方案），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right w:val="single" w:color="auto" w:sz="4" w:space="0"/>
            </w:tcBorders>
            <w:noWrap/>
            <w:vAlign w:val="center"/>
          </w:tcPr>
          <w:p w14:paraId="4E4EBC1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3BABB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18FE6E5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17</w:t>
            </w:r>
          </w:p>
        </w:tc>
        <w:tc>
          <w:tcPr>
            <w:tcW w:w="817" w:type="dxa"/>
            <w:vMerge w:val="continue"/>
            <w:tcBorders>
              <w:left w:val="single" w:color="auto" w:sz="4" w:space="0"/>
              <w:right w:val="single" w:color="auto" w:sz="4" w:space="0"/>
            </w:tcBorders>
            <w:noWrap/>
            <w:vAlign w:val="top"/>
          </w:tcPr>
          <w:p w14:paraId="01D9EAD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restart"/>
            <w:tcBorders>
              <w:left w:val="single" w:color="auto" w:sz="4" w:space="0"/>
              <w:bottom w:val="nil"/>
              <w:right w:val="single" w:color="auto" w:sz="4" w:space="0"/>
            </w:tcBorders>
            <w:noWrap/>
            <w:vAlign w:val="center"/>
          </w:tcPr>
          <w:p w14:paraId="6A5BFB51">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C3.仓储能力（满分15分）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527AC9D0">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C3.1仓储场所</w:t>
            </w:r>
          </w:p>
          <w:p w14:paraId="29D485B5">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自有或租赁的仓储场所（不含低温仓储仓库）总面积的情况进行评分：面积≥500平方米的得4分；200平方米≤面积＜500平方米的得3分；面积＜200平方米的得2分。自有产权的须提供有效的不动产产权证明；租赁的须提供有效的租赁合同（租赁期不得少于1年）、投标截止时间前三个月内任一个月（不含投标截止当月）双方租赁资金往来的证明、租金发票、场所实地（含内部、外部）照片、不动产产权证明。若为无偿租赁的还须提供税务部门对该项无偿租赁事项征收增值税的完税证明及投标截止时间前六个月内任意连续一个月（不含投标截止时间的当月）物流出仓记录。投标截止时间当月有偿（无偿）租赁的，提供租赁合同及场所实地（含内部、外部）照片、不动产产权证明视为满足上述条件，未提供或未提供齐全本项不得分。</w:t>
            </w:r>
          </w:p>
          <w:p w14:paraId="124740D7">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注：技术评分项C3.1、C3.2为同一场所的不重复加分。</w:t>
            </w:r>
          </w:p>
        </w:tc>
        <w:tc>
          <w:tcPr>
            <w:tcW w:w="838" w:type="dxa"/>
            <w:tcBorders>
              <w:left w:val="single" w:color="auto" w:sz="4" w:space="0"/>
              <w:bottom w:val="single" w:color="auto" w:sz="4" w:space="0"/>
              <w:right w:val="single" w:color="auto" w:sz="4" w:space="0"/>
            </w:tcBorders>
            <w:noWrap/>
            <w:vAlign w:val="center"/>
          </w:tcPr>
          <w:p w14:paraId="773C7C8E">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4</w:t>
            </w:r>
          </w:p>
        </w:tc>
      </w:tr>
      <w:tr w14:paraId="4B2E99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5D70FC3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18</w:t>
            </w:r>
          </w:p>
        </w:tc>
        <w:tc>
          <w:tcPr>
            <w:tcW w:w="817" w:type="dxa"/>
            <w:vMerge w:val="continue"/>
            <w:tcBorders>
              <w:left w:val="single" w:color="auto" w:sz="4" w:space="0"/>
              <w:right w:val="single" w:color="auto" w:sz="4" w:space="0"/>
            </w:tcBorders>
            <w:noWrap/>
            <w:vAlign w:val="top"/>
          </w:tcPr>
          <w:p w14:paraId="401A0A2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nil"/>
              <w:right w:val="single" w:color="auto" w:sz="4" w:space="0"/>
            </w:tcBorders>
            <w:noWrap/>
            <w:vAlign w:val="center"/>
          </w:tcPr>
          <w:p w14:paraId="5C217D26">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52D4126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C3.2低温仓储仓库</w:t>
            </w:r>
          </w:p>
          <w:p w14:paraId="18398E5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自有或租赁的低温仓储仓库（保鲜、冷藏）的仓储场所总面积的情况进行评分，提供仓储面积大小进行评议：面积≥300平方米的得3分；100平方米≤面积＜300平方米的得2分；面积＜100平方米的得1分。自有产权的须提供有效的不动产产权证明；租赁的须提供有效的租赁合同（租赁期不得少于1年）、投标截止时间前三个月内任一个月（不含投标截止当月）双方租赁资金往来的证明、租金发票、场所实地（含内部、外部）照片、不动产产权证明。若为无偿租赁的还须提供税务部门对该项无偿租赁事项征收增值税的完税证明及投标截止时间前六个月内任意连续一个月（不含投标截止时间的当月）物流出仓记录。投标截止时间当月有偿（无偿）租赁的，提供租赁合同及场所实地（含内部、外部）照片、不动产产权证明视为满足上述条件，未提供或未提供齐全本项不得分。</w:t>
            </w:r>
          </w:p>
          <w:p w14:paraId="4B76EE57">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注：技术评分项C3.1、C3.2为同一场所的不重复加分。</w:t>
            </w:r>
          </w:p>
        </w:tc>
        <w:tc>
          <w:tcPr>
            <w:tcW w:w="838" w:type="dxa"/>
            <w:tcBorders>
              <w:top w:val="single" w:color="auto" w:sz="4" w:space="0"/>
              <w:left w:val="single" w:color="auto" w:sz="4" w:space="0"/>
              <w:right w:val="single" w:color="auto" w:sz="4" w:space="0"/>
            </w:tcBorders>
            <w:noWrap/>
            <w:vAlign w:val="center"/>
          </w:tcPr>
          <w:p w14:paraId="285D180B">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7E1A78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635294C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19</w:t>
            </w:r>
          </w:p>
        </w:tc>
        <w:tc>
          <w:tcPr>
            <w:tcW w:w="817" w:type="dxa"/>
            <w:vMerge w:val="continue"/>
            <w:tcBorders>
              <w:left w:val="single" w:color="auto" w:sz="4" w:space="0"/>
              <w:right w:val="single" w:color="auto" w:sz="4" w:space="0"/>
            </w:tcBorders>
            <w:noWrap/>
            <w:vAlign w:val="top"/>
          </w:tcPr>
          <w:p w14:paraId="0E1290C8">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tcBorders>
              <w:top w:val="nil"/>
              <w:left w:val="single" w:color="auto" w:sz="4" w:space="0"/>
              <w:bottom w:val="nil"/>
              <w:right w:val="single" w:color="auto" w:sz="4" w:space="0"/>
            </w:tcBorders>
            <w:noWrap/>
            <w:vAlign w:val="center"/>
          </w:tcPr>
          <w:p w14:paraId="7F37309E">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202BE16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C3.3生产基地</w:t>
            </w:r>
          </w:p>
          <w:p w14:paraId="62E6074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供应商具有自有（或合作）生产基地（商）的得3分。自有产权的须提供基地现场图片、自有产权证明；合作基地须提供基地现场照片、合作协议复印件，否则不得分。</w:t>
            </w:r>
          </w:p>
        </w:tc>
        <w:tc>
          <w:tcPr>
            <w:tcW w:w="838" w:type="dxa"/>
            <w:tcBorders>
              <w:top w:val="single" w:color="auto" w:sz="4" w:space="0"/>
              <w:left w:val="single" w:color="auto" w:sz="4" w:space="0"/>
              <w:right w:val="single" w:color="auto" w:sz="4" w:space="0"/>
            </w:tcBorders>
            <w:noWrap/>
            <w:vAlign w:val="center"/>
          </w:tcPr>
          <w:p w14:paraId="5B67F3E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3A8E8C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3560C05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20</w:t>
            </w:r>
          </w:p>
        </w:tc>
        <w:tc>
          <w:tcPr>
            <w:tcW w:w="817" w:type="dxa"/>
            <w:vMerge w:val="continue"/>
            <w:tcBorders>
              <w:left w:val="single" w:color="auto" w:sz="4" w:space="0"/>
              <w:right w:val="single" w:color="auto" w:sz="4" w:space="0"/>
            </w:tcBorders>
            <w:noWrap/>
            <w:vAlign w:val="top"/>
          </w:tcPr>
          <w:p w14:paraId="1E5FFDD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tcBorders>
              <w:top w:val="nil"/>
              <w:left w:val="single" w:color="auto" w:sz="4" w:space="0"/>
              <w:bottom w:val="single" w:color="auto" w:sz="4" w:space="0"/>
              <w:right w:val="single" w:color="auto" w:sz="4" w:space="0"/>
            </w:tcBorders>
            <w:noWrap/>
            <w:vAlign w:val="center"/>
          </w:tcPr>
          <w:p w14:paraId="68F2D7F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1D71A90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C3.4生产或仓储环境</w:t>
            </w:r>
          </w:p>
          <w:p w14:paraId="08819F5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根据投标人提供的生产或储备环境情况（包括但不限于供应产品生产或仓储环境、存放区域设置合理性、防虫害措施等）进行评分：提供仓库物资存放布局图或生产区间设备布局图、</w:t>
            </w:r>
          </w:p>
          <w:p w14:paraId="54BA688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仓储现场环境照片、有效期内防虫害防治服务协议（或合同）、防虫害布控图、有关防虫害服务方面的结算发票材料，每提供一项佐证材料得1分，满分5分。未提供的不得分。</w:t>
            </w:r>
          </w:p>
        </w:tc>
        <w:tc>
          <w:tcPr>
            <w:tcW w:w="838" w:type="dxa"/>
            <w:tcBorders>
              <w:top w:val="single" w:color="auto" w:sz="4" w:space="0"/>
              <w:left w:val="single" w:color="auto" w:sz="4" w:space="0"/>
              <w:right w:val="single" w:color="auto" w:sz="4" w:space="0"/>
            </w:tcBorders>
            <w:noWrap/>
            <w:vAlign w:val="center"/>
          </w:tcPr>
          <w:p w14:paraId="7A230A3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5</w:t>
            </w:r>
          </w:p>
        </w:tc>
      </w:tr>
      <w:tr w14:paraId="023D11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6EDEBB9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21</w:t>
            </w:r>
          </w:p>
        </w:tc>
        <w:tc>
          <w:tcPr>
            <w:tcW w:w="817" w:type="dxa"/>
            <w:vMerge w:val="continue"/>
            <w:tcBorders>
              <w:left w:val="single" w:color="auto" w:sz="4" w:space="0"/>
              <w:right w:val="single" w:color="auto" w:sz="4" w:space="0"/>
            </w:tcBorders>
            <w:noWrap/>
            <w:vAlign w:val="top"/>
          </w:tcPr>
          <w:p w14:paraId="078D357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restart"/>
            <w:tcBorders>
              <w:top w:val="single" w:color="auto" w:sz="4" w:space="0"/>
              <w:left w:val="single" w:color="auto" w:sz="4" w:space="0"/>
              <w:right w:val="single" w:color="auto" w:sz="4" w:space="0"/>
            </w:tcBorders>
            <w:noWrap/>
            <w:vAlign w:val="center"/>
          </w:tcPr>
          <w:p w14:paraId="22745471">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C4.货源保障、供货保障能力（满分12分）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C46592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C4.1供货能力</w:t>
            </w:r>
          </w:p>
          <w:p w14:paraId="314D07E2">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供货能力（重点考核货源渠道等），由评委会进行评议：提供一份包含采购包2禽蛋肉类供货合同的得2分，可以提供多个供应商的上述品种供货合同，满分8分，超出上述品类范围的不得分。须同时提供有效期内的采购合同复印件及投标截止时间前六个月内任一个月（不含投标截止当月）双方资金往来的证明、采购发票、采购发票上未列明具体采购货物名称的须附采购清单，若为投标截止时间当月签订的采购合同，提供采购合同复印件的视为满足上述条件。未提供或提供不全的不得分。</w:t>
            </w:r>
          </w:p>
        </w:tc>
        <w:tc>
          <w:tcPr>
            <w:tcW w:w="838" w:type="dxa"/>
            <w:tcBorders>
              <w:left w:val="single" w:color="auto" w:sz="4" w:space="0"/>
              <w:bottom w:val="single" w:color="auto" w:sz="4" w:space="0"/>
              <w:right w:val="single" w:color="auto" w:sz="4" w:space="0"/>
            </w:tcBorders>
            <w:noWrap/>
            <w:vAlign w:val="center"/>
          </w:tcPr>
          <w:p w14:paraId="7A06F02A">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8</w:t>
            </w:r>
          </w:p>
        </w:tc>
      </w:tr>
      <w:tr w14:paraId="6E6BA4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4047649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22</w:t>
            </w:r>
          </w:p>
        </w:tc>
        <w:tc>
          <w:tcPr>
            <w:tcW w:w="817" w:type="dxa"/>
            <w:vMerge w:val="continue"/>
            <w:tcBorders>
              <w:left w:val="single" w:color="auto" w:sz="4" w:space="0"/>
              <w:right w:val="single" w:color="auto" w:sz="4" w:space="0"/>
            </w:tcBorders>
            <w:noWrap/>
            <w:vAlign w:val="top"/>
          </w:tcPr>
          <w:p w14:paraId="56F411F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5C35CAE1">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3A9D1BC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C4.2冷藏车</w:t>
            </w:r>
          </w:p>
          <w:p w14:paraId="475B2800">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根据投标人在满足招标文件要求送货车配备（1辆）的基础上，增加1辆冷藏车的得1分</w:t>
            </w:r>
            <w:r>
              <w:rPr>
                <w:rFonts w:hint="eastAsia" w:ascii="宋体" w:hAnsi="宋体" w:cs="宋体"/>
                <w:snapToGrid/>
                <w:sz w:val="21"/>
                <w:szCs w:val="21"/>
                <w:lang w:val="en-US" w:eastAsia="zh-CN" w:bidi="ar-SA"/>
              </w:rPr>
              <w:t>，满分2分</w:t>
            </w:r>
            <w:r>
              <w:rPr>
                <w:rFonts w:hint="eastAsia" w:ascii="宋体" w:hAnsi="宋体" w:eastAsia="宋体" w:cs="宋体"/>
                <w:snapToGrid/>
                <w:sz w:val="21"/>
                <w:szCs w:val="21"/>
                <w:lang w:val="en-US" w:eastAsia="zh-CN" w:bidi="ar-SA"/>
              </w:rPr>
              <w:t>。须同时提供①车辆行驶证及完整的车辆登记证复印件、车辆照片（含车辆内部照片）；②自有车辆所有人应与投标人一致，租赁车辆须提供租赁或运输合同。未提供或提供不全的不得分。（所有证件需在有效期内否则不得分）</w:t>
            </w:r>
          </w:p>
          <w:p w14:paraId="0399419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注：技术评分项C4.2、C4.3为同一车辆的不重复得分。</w:t>
            </w:r>
          </w:p>
        </w:tc>
        <w:tc>
          <w:tcPr>
            <w:tcW w:w="838" w:type="dxa"/>
            <w:tcBorders>
              <w:top w:val="single" w:color="auto" w:sz="4" w:space="0"/>
              <w:left w:val="single" w:color="auto" w:sz="4" w:space="0"/>
              <w:right w:val="single" w:color="auto" w:sz="4" w:space="0"/>
            </w:tcBorders>
            <w:noWrap/>
            <w:vAlign w:val="center"/>
          </w:tcPr>
          <w:p w14:paraId="27A5A54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5FC51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70E3F6B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23</w:t>
            </w:r>
          </w:p>
        </w:tc>
        <w:tc>
          <w:tcPr>
            <w:tcW w:w="817" w:type="dxa"/>
            <w:vMerge w:val="continue"/>
            <w:tcBorders>
              <w:left w:val="single" w:color="auto" w:sz="4" w:space="0"/>
              <w:right w:val="single" w:color="auto" w:sz="4" w:space="0"/>
            </w:tcBorders>
            <w:noWrap/>
            <w:vAlign w:val="top"/>
          </w:tcPr>
          <w:p w14:paraId="2788693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single" w:color="auto" w:sz="4" w:space="0"/>
              <w:right w:val="single" w:color="auto" w:sz="4" w:space="0"/>
            </w:tcBorders>
            <w:noWrap/>
            <w:vAlign w:val="center"/>
          </w:tcPr>
          <w:p w14:paraId="1468F756">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2C743178">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C4.3厢式货车</w:t>
            </w:r>
          </w:p>
          <w:p w14:paraId="7F05D50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根据投标人在满足招标文件要求的厢式货车配备（1辆）的基础上，增加1辆应急保障厢式货车的得1分</w:t>
            </w:r>
            <w:r>
              <w:rPr>
                <w:rFonts w:hint="eastAsia" w:ascii="宋体" w:hAnsi="宋体" w:cs="宋体"/>
                <w:snapToGrid/>
                <w:sz w:val="21"/>
                <w:szCs w:val="21"/>
                <w:lang w:val="en-US" w:eastAsia="zh-CN" w:bidi="ar-SA"/>
              </w:rPr>
              <w:t>，满分2分</w:t>
            </w:r>
            <w:r>
              <w:rPr>
                <w:rFonts w:hint="eastAsia" w:ascii="宋体" w:hAnsi="宋体" w:eastAsia="宋体" w:cs="宋体"/>
                <w:snapToGrid/>
                <w:sz w:val="21"/>
                <w:szCs w:val="21"/>
                <w:lang w:val="en-US" w:eastAsia="zh-CN" w:bidi="ar-SA"/>
              </w:rPr>
              <w:t>。须同时提供①车辆行驶证及完整的车辆登记证复印件、车辆照片（含车辆内部照片）；②自有车辆所有人应与投标人一致，租赁车辆须提供租赁或运输合同。未提供或提供不全的不得分。（所有证件需在有效期内否则不得分）</w:t>
            </w:r>
          </w:p>
          <w:p w14:paraId="63F25F7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注：技术评分项C4.2、C4.3为同一车辆的不重复得分。</w:t>
            </w:r>
          </w:p>
        </w:tc>
        <w:tc>
          <w:tcPr>
            <w:tcW w:w="838" w:type="dxa"/>
            <w:tcBorders>
              <w:left w:val="single" w:color="auto" w:sz="4" w:space="0"/>
              <w:bottom w:val="single" w:color="auto" w:sz="4" w:space="0"/>
              <w:right w:val="single" w:color="auto" w:sz="4" w:space="0"/>
            </w:tcBorders>
            <w:noWrap/>
            <w:vAlign w:val="center"/>
          </w:tcPr>
          <w:p w14:paraId="12FB7A93">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240CF8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1D43B56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24</w:t>
            </w:r>
          </w:p>
        </w:tc>
        <w:tc>
          <w:tcPr>
            <w:tcW w:w="817" w:type="dxa"/>
            <w:vMerge w:val="continue"/>
            <w:tcBorders>
              <w:left w:val="single" w:color="auto" w:sz="4" w:space="0"/>
              <w:right w:val="single" w:color="auto" w:sz="4" w:space="0"/>
            </w:tcBorders>
            <w:noWrap/>
            <w:vAlign w:val="top"/>
          </w:tcPr>
          <w:p w14:paraId="09228DCF">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restart"/>
            <w:tcBorders>
              <w:top w:val="single" w:color="auto" w:sz="4" w:space="0"/>
              <w:left w:val="single" w:color="auto" w:sz="4" w:space="0"/>
              <w:right w:val="single" w:color="auto" w:sz="4" w:space="0"/>
            </w:tcBorders>
            <w:noWrap/>
            <w:vAlign w:val="center"/>
          </w:tcPr>
          <w:p w14:paraId="31E190F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C5.食品安全保障及检验能力（满分16分）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51C6484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C5.1检测能力</w:t>
            </w:r>
          </w:p>
          <w:p w14:paraId="1389286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的检测能力（自有或合作检验检测实验室）情况进行评分：实验室面积≥300平方米的得2.5分；150平方米≤实验室面积＜300平方米的得2分；实验室面积＜150平方米的得1分。须同时提供①检验检测室不动产或房产登记证明、检验检测室照片，租赁的须提供租赁协议、资金往来证明；若为无偿租赁的还须提供税务部门对该项无偿租赁事项征收增值税的完税证明。②自有的须提供检测资质证明材料，合作方的须提供合作协议、合作方的营业执照（经营范围须包含农产品检测业务）或合作方的国家认证的检测资质证明材料。投标截止时间当月有偿（无偿）租赁的，无需提供资金往来证明或税务部门对该项无偿租赁事项征收增值税的完税证明。未提供或未提供齐全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748DADF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2.5</w:t>
            </w:r>
          </w:p>
        </w:tc>
      </w:tr>
      <w:tr w14:paraId="2CD95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6046CE4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25</w:t>
            </w:r>
          </w:p>
        </w:tc>
        <w:tc>
          <w:tcPr>
            <w:tcW w:w="817" w:type="dxa"/>
            <w:vMerge w:val="continue"/>
            <w:tcBorders>
              <w:left w:val="single" w:color="auto" w:sz="4" w:space="0"/>
              <w:right w:val="single" w:color="auto" w:sz="4" w:space="0"/>
            </w:tcBorders>
            <w:noWrap/>
            <w:vAlign w:val="top"/>
          </w:tcPr>
          <w:p w14:paraId="50211DE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327E25E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569106E3">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C5.2检测设备</w:t>
            </w:r>
          </w:p>
          <w:p w14:paraId="113452B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能为本项目配备食品检验检疫设备情况进行评分：具备水分检测、微生物检测、食品安全检测、食品重金属检测、食品甲醛检测、农药残留检测、食品添加剂检测功能的，满足上述任意一种功能得0.5分，满分3.5分。须同时提供①配套设施设备清单、设备实物照片、设备彩页或功能介绍，②自有设备须提供购置发票，租赁设备须提供租赁合同及投标截止时间前六个月内任一个月（不含投标截止当月）双方租赁资金往来的证明、租金发票，若为无偿租赁的还须提供税务部门对该项无偿租赁事项征收增值税的完税证明。若为投标截止时间当月租赁的，提供租赁合同视为满足上述条件，③承诺所购买的设备投入本项目使用（承诺函格式自拟），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59173CC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3.5</w:t>
            </w:r>
          </w:p>
        </w:tc>
      </w:tr>
      <w:tr w14:paraId="7A378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555AF43F">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26</w:t>
            </w:r>
          </w:p>
        </w:tc>
        <w:tc>
          <w:tcPr>
            <w:tcW w:w="817" w:type="dxa"/>
            <w:vMerge w:val="continue"/>
            <w:tcBorders>
              <w:left w:val="single" w:color="auto" w:sz="4" w:space="0"/>
              <w:right w:val="single" w:color="auto" w:sz="4" w:space="0"/>
            </w:tcBorders>
            <w:noWrap/>
            <w:vAlign w:val="top"/>
          </w:tcPr>
          <w:p w14:paraId="2718EA1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52D9E55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53D6D4C3">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C5.3检测报告</w:t>
            </w:r>
          </w:p>
          <w:p w14:paraId="06F3C91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根据投标人提供的投标截止时间前六个月内，以投标人名义送检的涵盖采购包2禽蛋肉类检测报告情况进行打分：禽蛋肉类等任意一种品</w:t>
            </w:r>
            <w:r>
              <w:rPr>
                <w:rFonts w:hint="eastAsia" w:ascii="宋体" w:hAnsi="宋体" w:cs="宋体"/>
                <w:snapToGrid/>
                <w:sz w:val="21"/>
                <w:szCs w:val="21"/>
                <w:lang w:val="en-US" w:eastAsia="zh-CN" w:bidi="ar-SA"/>
              </w:rPr>
              <w:t>种</w:t>
            </w:r>
            <w:r>
              <w:rPr>
                <w:rFonts w:hint="eastAsia" w:ascii="宋体" w:hAnsi="宋体" w:eastAsia="宋体" w:cs="宋体"/>
                <w:snapToGrid/>
                <w:sz w:val="21"/>
                <w:szCs w:val="21"/>
                <w:lang w:val="en-US" w:eastAsia="zh-CN" w:bidi="ar-SA"/>
              </w:rPr>
              <w:t>提供一个月的检测报告得1分，品种重复的不得分，满分6分。须提供第三方机构出具的封面带有CMA或CNAS标识的检测合格报告复印件,未提供或超出采购包所含品类范围的不得分。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7DDA31B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305C92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0CCA3F6A">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27</w:t>
            </w:r>
          </w:p>
        </w:tc>
        <w:tc>
          <w:tcPr>
            <w:tcW w:w="817" w:type="dxa"/>
            <w:vMerge w:val="continue"/>
            <w:tcBorders>
              <w:left w:val="single" w:color="auto" w:sz="4" w:space="0"/>
              <w:right w:val="single" w:color="auto" w:sz="4" w:space="0"/>
            </w:tcBorders>
            <w:noWrap/>
            <w:vAlign w:val="top"/>
          </w:tcPr>
          <w:p w14:paraId="2A00EBB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right w:val="single" w:color="auto" w:sz="4" w:space="0"/>
            </w:tcBorders>
            <w:noWrap/>
            <w:vAlign w:val="center"/>
          </w:tcPr>
          <w:p w14:paraId="7D35386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0D6D070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C5.4检验人员</w:t>
            </w:r>
          </w:p>
          <w:p w14:paraId="7957C4F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为本项目拟配备的具有中级（四级）及以上食品检验员（工）的，提供一名得1分。须同时提供有效的人员证书、健康证、身份证正反面复印件及投标截止时间前六个月内（不含投标截止当月）投标人为上述人员缴纳社会保险的证明材料（社保证明材料须由社保中心出具或网上缴纳后打印签电子章），若投标人为投标截止时间的当月成立的公司可提供依法缴纳社会保障资金承诺书（格式自拟）；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4DEEB10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w:t>
            </w:r>
          </w:p>
        </w:tc>
      </w:tr>
      <w:tr w14:paraId="46B865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68" w:type="dxa"/>
            <w:tcBorders>
              <w:top w:val="single" w:color="auto" w:sz="4" w:space="0"/>
              <w:left w:val="single" w:color="auto" w:sz="4" w:space="0"/>
              <w:bottom w:val="single" w:color="auto" w:sz="4" w:space="0"/>
              <w:right w:val="single" w:color="auto" w:sz="4" w:space="0"/>
            </w:tcBorders>
            <w:noWrap/>
            <w:vAlign w:val="center"/>
          </w:tcPr>
          <w:p w14:paraId="3A63F8A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28</w:t>
            </w:r>
          </w:p>
        </w:tc>
        <w:tc>
          <w:tcPr>
            <w:tcW w:w="817" w:type="dxa"/>
            <w:vMerge w:val="continue"/>
            <w:tcBorders>
              <w:left w:val="single" w:color="auto" w:sz="4" w:space="0"/>
              <w:right w:val="single" w:color="auto" w:sz="4" w:space="0"/>
            </w:tcBorders>
            <w:noWrap/>
            <w:vAlign w:val="top"/>
          </w:tcPr>
          <w:p w14:paraId="5F64B34D">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238" w:type="dxa"/>
            <w:vMerge w:val="continue"/>
            <w:tcBorders>
              <w:left w:val="single" w:color="auto" w:sz="4" w:space="0"/>
              <w:bottom w:val="single" w:color="auto" w:sz="4" w:space="0"/>
              <w:right w:val="single" w:color="auto" w:sz="4" w:space="0"/>
            </w:tcBorders>
            <w:noWrap/>
            <w:vAlign w:val="center"/>
          </w:tcPr>
          <w:p w14:paraId="55F94A3C">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2CDB718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C5.5追溯管理</w:t>
            </w:r>
          </w:p>
          <w:p w14:paraId="07481C2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投标人按照市场监督管理部门规定的“一品一码”要求，做到食品采购信息可追溯，须按采购包2禽蛋肉类提供投标截止时间前三个月内任一个月（不含投标截止当月），食品生产经营追溯管理系统录入信息或相关系统录入信息, 每提供一种品类得1分，满分2分。须提供相关网络信息截图及网站网址，并明显标注采购包所含品类范围，同时辅以往期的进货单；供应商具备有效的食品可追溯管理体系认证证书的得1分，须提供有效证书复印件。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999EB5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1CA4D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400" w:type="dxa"/>
            <w:gridSpan w:val="4"/>
            <w:tcBorders>
              <w:top w:val="single" w:color="auto" w:sz="4" w:space="0"/>
              <w:left w:val="single" w:color="auto" w:sz="4" w:space="0"/>
              <w:bottom w:val="single" w:color="auto" w:sz="4" w:space="0"/>
              <w:right w:val="single" w:color="auto" w:sz="4" w:space="0"/>
            </w:tcBorders>
            <w:noWrap/>
            <w:vAlign w:val="center"/>
          </w:tcPr>
          <w:p w14:paraId="313A30A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合     计</w:t>
            </w:r>
          </w:p>
        </w:tc>
        <w:tc>
          <w:tcPr>
            <w:tcW w:w="838" w:type="dxa"/>
            <w:tcBorders>
              <w:top w:val="single" w:color="auto" w:sz="4" w:space="0"/>
              <w:left w:val="single" w:color="auto" w:sz="4" w:space="0"/>
              <w:bottom w:val="single" w:color="auto" w:sz="4" w:space="0"/>
              <w:right w:val="single" w:color="auto" w:sz="4" w:space="0"/>
            </w:tcBorders>
            <w:noWrap/>
            <w:vAlign w:val="center"/>
          </w:tcPr>
          <w:p w14:paraId="4F8A21C3">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100</w:t>
            </w:r>
          </w:p>
        </w:tc>
      </w:tr>
      <w:tr w14:paraId="731C17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238" w:type="dxa"/>
            <w:gridSpan w:val="5"/>
            <w:tcBorders>
              <w:top w:val="single" w:color="auto" w:sz="4" w:space="0"/>
              <w:left w:val="single" w:color="auto" w:sz="4" w:space="0"/>
              <w:bottom w:val="single" w:color="auto" w:sz="4" w:space="0"/>
              <w:right w:val="single" w:color="auto" w:sz="4" w:space="0"/>
            </w:tcBorders>
            <w:noWrap/>
            <w:vAlign w:val="center"/>
          </w:tcPr>
          <w:p w14:paraId="670F87B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各投标人的商务部分得分B=B1+B2+B3+B4+B5</w:t>
            </w:r>
          </w:p>
        </w:tc>
      </w:tr>
      <w:tr w14:paraId="1F97D1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0" w:hRule="atLeast"/>
        </w:trPr>
        <w:tc>
          <w:tcPr>
            <w:tcW w:w="9238" w:type="dxa"/>
            <w:gridSpan w:val="5"/>
            <w:tcBorders>
              <w:top w:val="single" w:color="auto" w:sz="4" w:space="0"/>
              <w:left w:val="single" w:color="auto" w:sz="4" w:space="0"/>
              <w:bottom w:val="single" w:color="auto" w:sz="4" w:space="0"/>
              <w:right w:val="single" w:color="auto" w:sz="4" w:space="0"/>
            </w:tcBorders>
            <w:noWrap/>
            <w:vAlign w:val="center"/>
          </w:tcPr>
          <w:p w14:paraId="591236A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各投标人的技术部分得分C=C1+C2+C3+C4+C5</w:t>
            </w:r>
          </w:p>
        </w:tc>
      </w:tr>
      <w:tr w14:paraId="1F332A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238" w:type="dxa"/>
            <w:gridSpan w:val="5"/>
            <w:tcBorders>
              <w:top w:val="single" w:color="auto" w:sz="4" w:space="0"/>
              <w:left w:val="single" w:color="auto" w:sz="4" w:space="0"/>
              <w:bottom w:val="single" w:color="auto" w:sz="4" w:space="0"/>
              <w:right w:val="single" w:color="auto" w:sz="4" w:space="0"/>
            </w:tcBorders>
            <w:noWrap/>
            <w:vAlign w:val="top"/>
          </w:tcPr>
          <w:p w14:paraId="5860A49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各投标人的最终得分为A+B+C</w:t>
            </w:r>
          </w:p>
        </w:tc>
      </w:tr>
      <w:tr w14:paraId="5B17B1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238" w:type="dxa"/>
            <w:gridSpan w:val="5"/>
            <w:tcBorders>
              <w:top w:val="single" w:color="auto" w:sz="4" w:space="0"/>
              <w:left w:val="single" w:color="auto" w:sz="4" w:space="0"/>
              <w:bottom w:val="single" w:color="auto" w:sz="4" w:space="0"/>
              <w:right w:val="single" w:color="auto" w:sz="4" w:space="0"/>
            </w:tcBorders>
            <w:noWrap/>
            <w:vAlign w:val="center"/>
          </w:tcPr>
          <w:p w14:paraId="3A81D5D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注：1.评分项中涉及的相关证明材料（如证书、公告、合同、通知书、验收证明、荣誉证明等）若有属于“可以通过互联网或者相关信息系统查询的信息”，投标人可不提供复印件，提供查询网址链接、证书编号（或提供查询所需信息）视同响应评分项要求。若评标委员会通过投标人提供的查询网址链接无法查询或查询到信息不符合招标文件要求的，评标委员会将按照不利于投标人的内容进行认定。此条款表述若与上述评分项表述有矛盾，以此条款为准。</w:t>
            </w:r>
          </w:p>
          <w:p w14:paraId="288427C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2.评分项中涉及的“人社部颁发的”指中华人民共和国人力资源和社会保障部或中华人民共和国人力资源和社会保障部备案公布的用人单位和社会培训评价组织颁发的均可。</w:t>
            </w:r>
          </w:p>
        </w:tc>
      </w:tr>
    </w:tbl>
    <w:p w14:paraId="745789F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2.2.3.采购包3（调味品、食用油、干货类）各部份评分分值分布如下：</w:t>
      </w:r>
    </w:p>
    <w:p w14:paraId="232AEB5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A：报价部分评分  满分15分</w:t>
      </w:r>
    </w:p>
    <w:p w14:paraId="2B47F05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B：商务因素评分  满分24分</w:t>
      </w:r>
    </w:p>
    <w:p w14:paraId="6ECF17DC">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C：技术因素评分  满分61分</w:t>
      </w:r>
    </w:p>
    <w:p w14:paraId="35EA6FE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各评委评分B、C部分分别取算术平均值为最终得分，并取小数点后的2位数。</w:t>
      </w:r>
    </w:p>
    <w:p w14:paraId="218CE55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综合评分：A＋B＋C</w:t>
      </w:r>
    </w:p>
    <w:p w14:paraId="0B66A93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评审标准如下表：</w:t>
      </w:r>
    </w:p>
    <w:tbl>
      <w:tblPr>
        <w:tblStyle w:val="15"/>
        <w:tblW w:w="902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8"/>
        <w:gridCol w:w="696"/>
        <w:gridCol w:w="1127"/>
        <w:gridCol w:w="5677"/>
        <w:gridCol w:w="838"/>
      </w:tblGrid>
      <w:tr w14:paraId="766778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7D95BFA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cs="宋体"/>
                <w:snapToGrid/>
                <w:sz w:val="21"/>
                <w:szCs w:val="21"/>
                <w:lang w:val="en-US" w:eastAsia="zh-CN" w:bidi="ar-SA"/>
              </w:rPr>
              <w:t>序</w:t>
            </w:r>
            <w:r>
              <w:rPr>
                <w:rFonts w:hint="eastAsia" w:ascii="宋体" w:hAnsi="宋体" w:eastAsia="宋体" w:cs="宋体"/>
                <w:snapToGrid/>
                <w:sz w:val="21"/>
                <w:szCs w:val="21"/>
                <w:lang w:val="en-US" w:eastAsia="zh-CN" w:bidi="ar-SA"/>
              </w:rPr>
              <w:t>号</w:t>
            </w:r>
          </w:p>
        </w:tc>
        <w:tc>
          <w:tcPr>
            <w:tcW w:w="696" w:type="dxa"/>
            <w:tcBorders>
              <w:top w:val="single" w:color="auto" w:sz="4" w:space="0"/>
              <w:left w:val="single" w:color="auto" w:sz="4" w:space="0"/>
              <w:bottom w:val="single" w:color="auto" w:sz="4" w:space="0"/>
              <w:right w:val="single" w:color="auto" w:sz="4" w:space="0"/>
            </w:tcBorders>
            <w:noWrap/>
            <w:vAlign w:val="center"/>
          </w:tcPr>
          <w:p w14:paraId="3B3DD8E9">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评审因素</w:t>
            </w:r>
          </w:p>
        </w:tc>
        <w:tc>
          <w:tcPr>
            <w:tcW w:w="1127" w:type="dxa"/>
            <w:tcBorders>
              <w:top w:val="single" w:color="auto" w:sz="4" w:space="0"/>
              <w:left w:val="single" w:color="auto" w:sz="4" w:space="0"/>
              <w:bottom w:val="single" w:color="auto" w:sz="4" w:space="0"/>
              <w:right w:val="single" w:color="auto" w:sz="4" w:space="0"/>
            </w:tcBorders>
            <w:noWrap/>
            <w:vAlign w:val="center"/>
          </w:tcPr>
          <w:p w14:paraId="6D905E16">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主要内容</w:t>
            </w:r>
          </w:p>
        </w:tc>
        <w:tc>
          <w:tcPr>
            <w:tcW w:w="5677" w:type="dxa"/>
            <w:tcBorders>
              <w:top w:val="single" w:color="auto" w:sz="4" w:space="0"/>
              <w:left w:val="single" w:color="auto" w:sz="4" w:space="0"/>
              <w:bottom w:val="single" w:color="auto" w:sz="4" w:space="0"/>
              <w:right w:val="single" w:color="auto" w:sz="4" w:space="0"/>
            </w:tcBorders>
            <w:noWrap/>
            <w:vAlign w:val="center"/>
          </w:tcPr>
          <w:p w14:paraId="2A224E58">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指标要求</w:t>
            </w:r>
          </w:p>
        </w:tc>
        <w:tc>
          <w:tcPr>
            <w:tcW w:w="838" w:type="dxa"/>
            <w:tcBorders>
              <w:top w:val="single" w:color="auto" w:sz="4" w:space="0"/>
              <w:left w:val="single" w:color="auto" w:sz="4" w:space="0"/>
              <w:bottom w:val="single" w:color="auto" w:sz="4" w:space="0"/>
              <w:right w:val="single" w:color="auto" w:sz="4" w:space="0"/>
            </w:tcBorders>
            <w:noWrap/>
            <w:vAlign w:val="center"/>
          </w:tcPr>
          <w:p w14:paraId="49FEAF5C">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细项</w:t>
            </w:r>
          </w:p>
          <w:p w14:paraId="4C27EFAC">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分值</w:t>
            </w:r>
          </w:p>
        </w:tc>
      </w:tr>
      <w:tr w14:paraId="216712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88" w:type="dxa"/>
            <w:tcBorders>
              <w:top w:val="single" w:color="auto" w:sz="4" w:space="0"/>
              <w:left w:val="single" w:color="auto" w:sz="4" w:space="0"/>
              <w:bottom w:val="single" w:color="auto" w:sz="4" w:space="0"/>
              <w:right w:val="single" w:color="auto" w:sz="4" w:space="0"/>
            </w:tcBorders>
            <w:noWrap/>
            <w:vAlign w:val="center"/>
          </w:tcPr>
          <w:p w14:paraId="0AEB2B41">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w:t>
            </w:r>
          </w:p>
        </w:tc>
        <w:tc>
          <w:tcPr>
            <w:tcW w:w="696" w:type="dxa"/>
            <w:tcBorders>
              <w:top w:val="single" w:color="auto" w:sz="4" w:space="0"/>
              <w:left w:val="single" w:color="auto" w:sz="4" w:space="0"/>
              <w:bottom w:val="single" w:color="auto" w:sz="4" w:space="0"/>
              <w:right w:val="single" w:color="auto" w:sz="4" w:space="0"/>
            </w:tcBorders>
            <w:noWrap/>
            <w:vAlign w:val="center"/>
          </w:tcPr>
          <w:p w14:paraId="759C9D6F">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zh-CN" w:eastAsia="zh-CN" w:bidi="ar-SA"/>
              </w:rPr>
              <w:t>投标报价</w:t>
            </w:r>
          </w:p>
        </w:tc>
        <w:tc>
          <w:tcPr>
            <w:tcW w:w="1127" w:type="dxa"/>
            <w:tcBorders>
              <w:top w:val="single" w:color="auto" w:sz="4" w:space="0"/>
              <w:left w:val="single" w:color="auto" w:sz="4" w:space="0"/>
              <w:bottom w:val="single" w:color="auto" w:sz="4" w:space="0"/>
              <w:right w:val="single" w:color="auto" w:sz="4" w:space="0"/>
            </w:tcBorders>
            <w:noWrap/>
            <w:vAlign w:val="center"/>
          </w:tcPr>
          <w:p w14:paraId="780ACCBD">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A</w:t>
            </w:r>
            <w:r>
              <w:rPr>
                <w:rFonts w:hint="eastAsia" w:ascii="宋体" w:hAnsi="宋体" w:eastAsia="宋体" w:cs="宋体"/>
                <w:snapToGrid/>
                <w:sz w:val="21"/>
                <w:szCs w:val="21"/>
                <w:lang w:val="zh-CN" w:eastAsia="zh-CN" w:bidi="ar-SA"/>
              </w:rPr>
              <w:t>价格</w:t>
            </w:r>
          </w:p>
        </w:tc>
        <w:tc>
          <w:tcPr>
            <w:tcW w:w="5677" w:type="dxa"/>
            <w:tcBorders>
              <w:top w:val="single" w:color="auto" w:sz="4" w:space="0"/>
              <w:left w:val="single" w:color="auto" w:sz="4" w:space="0"/>
              <w:bottom w:val="single" w:color="auto" w:sz="4" w:space="0"/>
              <w:right w:val="single" w:color="auto" w:sz="4" w:space="0"/>
            </w:tcBorders>
            <w:noWrap/>
            <w:vAlign w:val="center"/>
          </w:tcPr>
          <w:p w14:paraId="680F18A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投标价格得分＝（评标基准价/各投标人的投标结算系数）×价格评标分值。</w:t>
            </w:r>
          </w:p>
          <w:p w14:paraId="249DFA46">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评标基准价为满足招标文件要求且投标结算系数最低的投标报价，计算分数时四舍五入取小数点后两位。如：打8.5折，即投标结算系数为0.85。</w:t>
            </w:r>
          </w:p>
          <w:p w14:paraId="6C068E4D">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采购人不接受投标人的恶意低价竞争，评标委员会认为投标人的报价明显低于其他通过符合性审查投标人的报价，有可能影响产品质量或者不能诚信履约的，要求其在评标现场提供书面说明，并提交相关证明材料，投标人不能证明其报价合理性的，评标委员会将对其作为无效投标处理。</w:t>
            </w:r>
          </w:p>
        </w:tc>
        <w:tc>
          <w:tcPr>
            <w:tcW w:w="838" w:type="dxa"/>
            <w:tcBorders>
              <w:top w:val="single" w:color="auto" w:sz="4" w:space="0"/>
              <w:left w:val="single" w:color="auto" w:sz="4" w:space="0"/>
              <w:bottom w:val="single" w:color="auto" w:sz="4" w:space="0"/>
              <w:right w:val="single" w:color="auto" w:sz="4" w:space="0"/>
            </w:tcBorders>
            <w:noWrap/>
            <w:vAlign w:val="center"/>
          </w:tcPr>
          <w:p w14:paraId="56CE5D24">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15</w:t>
            </w:r>
          </w:p>
        </w:tc>
      </w:tr>
      <w:tr w14:paraId="23628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64208CF5">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c>
          <w:tcPr>
            <w:tcW w:w="696" w:type="dxa"/>
            <w:vMerge w:val="restart"/>
            <w:tcBorders>
              <w:top w:val="single" w:color="auto" w:sz="4" w:space="0"/>
              <w:left w:val="single" w:color="auto" w:sz="4" w:space="0"/>
              <w:right w:val="single" w:color="auto" w:sz="4" w:space="0"/>
            </w:tcBorders>
            <w:noWrap/>
            <w:vAlign w:val="center"/>
          </w:tcPr>
          <w:p w14:paraId="74436331">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商务因素</w:t>
            </w:r>
          </w:p>
        </w:tc>
        <w:tc>
          <w:tcPr>
            <w:tcW w:w="1127" w:type="dxa"/>
            <w:tcBorders>
              <w:top w:val="single" w:color="auto" w:sz="4" w:space="0"/>
              <w:left w:val="single" w:color="auto" w:sz="4" w:space="0"/>
              <w:bottom w:val="single" w:color="auto" w:sz="4" w:space="0"/>
              <w:right w:val="single" w:color="auto" w:sz="4" w:space="0"/>
            </w:tcBorders>
            <w:noWrap/>
            <w:vAlign w:val="center"/>
          </w:tcPr>
          <w:p w14:paraId="3E032664">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B1.服务案例情况（满分3分）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54F699C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1.根据投标人自2022年1月1日以来(合同签订时间为准)已完成或正在履行的食材配送项目服务经验情况进行评分：每提供一份服务案例得1分，满分3分。须同时提供相关网站中标/成交公告网页截图并注明网址、中标/成交通知书复印件、采购合同文本复印件以及能够证明该项目已经采购人验收合格的相关证明文件复印件（或部分付款证明）为考评依据。未提供或提供不符合要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17F0CAB">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EBA8A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293DEF59">
            <w:pPr>
              <w:tabs>
                <w:tab w:val="center" w:pos="4890"/>
              </w:tabs>
              <w:spacing w:line="400" w:lineRule="exact"/>
              <w:jc w:val="center"/>
              <w:rPr>
                <w:rFonts w:hint="default" w:ascii="宋体" w:hAnsi="宋体" w:eastAsia="宋体" w:cs="宋体"/>
                <w:snapToGrid/>
                <w:sz w:val="21"/>
                <w:szCs w:val="21"/>
                <w:lang w:val="en-US" w:eastAsia="zh-CN" w:bidi="ar-SA"/>
              </w:rPr>
            </w:pPr>
            <w:r>
              <w:rPr>
                <w:rFonts w:hint="eastAsia" w:ascii="宋体" w:hAnsi="宋体" w:cs="宋体"/>
                <w:snapToGrid/>
                <w:sz w:val="21"/>
                <w:szCs w:val="21"/>
                <w:lang w:val="en-US" w:eastAsia="zh-CN" w:bidi="ar-SA"/>
              </w:rPr>
              <w:t>3</w:t>
            </w:r>
          </w:p>
        </w:tc>
        <w:tc>
          <w:tcPr>
            <w:tcW w:w="696" w:type="dxa"/>
            <w:vMerge w:val="continue"/>
            <w:tcBorders>
              <w:left w:val="single" w:color="auto" w:sz="4" w:space="0"/>
              <w:right w:val="single" w:color="auto" w:sz="4" w:space="0"/>
            </w:tcBorders>
            <w:noWrap/>
            <w:vAlign w:val="center"/>
          </w:tcPr>
          <w:p w14:paraId="566B8DA1">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5EA4851E">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B2.满意度服务（满分3分）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D6E96B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2.根据投标人提供的自2022年1月1日至投标截止时间止由投标人完成的与本项目类似（至少应包含本合同包的调味品、食用油、干货类其中一项）项目（为已完成项目且满意度评价落款时间需在合同履行完成后）业主满意度服务评价情况进行打分，每提供一份肯定性评价意见（优、优秀、90分或及以上或同等意义的材料）的得1分，满分3分。需提供采购合同及加盖采购人单位公章的服务评价表复印件，同时提供服务单位联系人及固定办公电话，供采购人现场核实查验，所有材料缺一不可，否则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8EC1172">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A4FF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02457B3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cs="宋体"/>
                <w:snapToGrid/>
                <w:sz w:val="21"/>
                <w:szCs w:val="21"/>
                <w:lang w:val="en-US" w:eastAsia="zh-CN" w:bidi="ar-SA"/>
              </w:rPr>
              <w:t>4</w:t>
            </w:r>
          </w:p>
        </w:tc>
        <w:tc>
          <w:tcPr>
            <w:tcW w:w="696" w:type="dxa"/>
            <w:vMerge w:val="continue"/>
            <w:tcBorders>
              <w:left w:val="single" w:color="auto" w:sz="4" w:space="0"/>
              <w:right w:val="single" w:color="auto" w:sz="4" w:space="0"/>
            </w:tcBorders>
            <w:noWrap/>
            <w:vAlign w:val="center"/>
          </w:tcPr>
          <w:p w14:paraId="158908E4">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restart"/>
            <w:tcBorders>
              <w:top w:val="single" w:color="auto" w:sz="4" w:space="0"/>
              <w:left w:val="single" w:color="auto" w:sz="4" w:space="0"/>
              <w:right w:val="single" w:color="auto" w:sz="4" w:space="0"/>
            </w:tcBorders>
            <w:noWrap/>
            <w:vAlign w:val="center"/>
          </w:tcPr>
          <w:p w14:paraId="1CC1DF59">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B3.企业认证体系（满分12分）</w:t>
            </w:r>
          </w:p>
        </w:tc>
        <w:tc>
          <w:tcPr>
            <w:tcW w:w="5677" w:type="dxa"/>
            <w:tcBorders>
              <w:top w:val="single" w:color="auto" w:sz="4" w:space="0"/>
              <w:left w:val="single" w:color="auto" w:sz="4" w:space="0"/>
              <w:bottom w:val="single" w:color="auto" w:sz="4" w:space="0"/>
              <w:right w:val="single" w:color="auto" w:sz="4" w:space="0"/>
            </w:tcBorders>
            <w:noWrap/>
            <w:vAlign w:val="top"/>
          </w:tcPr>
          <w:p w14:paraId="3E133BD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3.1投标人具备食品安全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626F1EAE">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45EDB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742A6A3C">
            <w:pPr>
              <w:tabs>
                <w:tab w:val="center" w:pos="4890"/>
              </w:tabs>
              <w:spacing w:line="400" w:lineRule="exact"/>
              <w:jc w:val="center"/>
              <w:rPr>
                <w:rFonts w:hint="default" w:ascii="宋体" w:hAnsi="宋体" w:eastAsia="宋体" w:cs="宋体"/>
                <w:snapToGrid/>
                <w:sz w:val="21"/>
                <w:szCs w:val="21"/>
                <w:lang w:val="en-US" w:eastAsia="zh-CN" w:bidi="ar-SA"/>
              </w:rPr>
            </w:pPr>
            <w:r>
              <w:rPr>
                <w:rFonts w:hint="eastAsia" w:ascii="宋体" w:hAnsi="宋体" w:cs="宋体"/>
                <w:snapToGrid/>
                <w:sz w:val="21"/>
                <w:szCs w:val="21"/>
                <w:lang w:val="en-US" w:eastAsia="zh-CN" w:bidi="ar-SA"/>
              </w:rPr>
              <w:t>5</w:t>
            </w:r>
          </w:p>
        </w:tc>
        <w:tc>
          <w:tcPr>
            <w:tcW w:w="696" w:type="dxa"/>
            <w:vMerge w:val="continue"/>
            <w:tcBorders>
              <w:left w:val="single" w:color="auto" w:sz="4" w:space="0"/>
              <w:right w:val="single" w:color="auto" w:sz="4" w:space="0"/>
            </w:tcBorders>
            <w:noWrap/>
            <w:vAlign w:val="center"/>
          </w:tcPr>
          <w:p w14:paraId="7C6CF45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63FC644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7C8FD59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3.2投标人具备质量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D01DD7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1FFBA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35E188E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cs="宋体"/>
                <w:snapToGrid/>
                <w:sz w:val="21"/>
                <w:szCs w:val="21"/>
                <w:lang w:val="en-US" w:eastAsia="zh-CN" w:bidi="ar-SA"/>
              </w:rPr>
              <w:t>6</w:t>
            </w:r>
          </w:p>
        </w:tc>
        <w:tc>
          <w:tcPr>
            <w:tcW w:w="696" w:type="dxa"/>
            <w:vMerge w:val="continue"/>
            <w:tcBorders>
              <w:left w:val="single" w:color="auto" w:sz="4" w:space="0"/>
              <w:right w:val="single" w:color="auto" w:sz="4" w:space="0"/>
            </w:tcBorders>
            <w:noWrap/>
            <w:vAlign w:val="center"/>
          </w:tcPr>
          <w:p w14:paraId="6203E37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4F89F7BE">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53FFF04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3.3投标人具备环境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501128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31B2F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0B87F867">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7</w:t>
            </w:r>
          </w:p>
        </w:tc>
        <w:tc>
          <w:tcPr>
            <w:tcW w:w="696" w:type="dxa"/>
            <w:vMerge w:val="continue"/>
            <w:tcBorders>
              <w:left w:val="single" w:color="auto" w:sz="4" w:space="0"/>
              <w:right w:val="single" w:color="auto" w:sz="4" w:space="0"/>
            </w:tcBorders>
            <w:noWrap/>
            <w:vAlign w:val="center"/>
          </w:tcPr>
          <w:p w14:paraId="6B96A016">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6C1D1A9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218D6A7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3.4投标人具备职业健康管理体系认证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93F1CE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47685B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04BF8BF5">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8</w:t>
            </w:r>
          </w:p>
        </w:tc>
        <w:tc>
          <w:tcPr>
            <w:tcW w:w="696" w:type="dxa"/>
            <w:vMerge w:val="continue"/>
            <w:tcBorders>
              <w:left w:val="single" w:color="auto" w:sz="4" w:space="0"/>
              <w:right w:val="single" w:color="auto" w:sz="4" w:space="0"/>
            </w:tcBorders>
            <w:noWrap/>
            <w:vAlign w:val="center"/>
          </w:tcPr>
          <w:p w14:paraId="24643410">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50461C6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0AC161C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3.5投标人具备HACCP（危害分析及关键控制点，确保食品在生产、加工、制造、准备等过程中的安全）体系认证证书的得2分。须提供有效期内的认证证书复印件及招标公告发出之日至投标文件递交截止时间期间从国家认证认可监督管理委员会（www.cnca.gov.cn）或中国合格评定国家认可委员会(www.cnas.org.cn）官方网站上查询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4B62AF0A">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42628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7C00FEBF">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9</w:t>
            </w:r>
          </w:p>
        </w:tc>
        <w:tc>
          <w:tcPr>
            <w:tcW w:w="696" w:type="dxa"/>
            <w:vMerge w:val="continue"/>
            <w:tcBorders>
              <w:left w:val="single" w:color="auto" w:sz="4" w:space="0"/>
              <w:right w:val="single" w:color="auto" w:sz="4" w:space="0"/>
            </w:tcBorders>
            <w:noWrap/>
            <w:vAlign w:val="center"/>
          </w:tcPr>
          <w:p w14:paraId="7876DB9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bottom w:val="single" w:color="auto" w:sz="4" w:space="0"/>
              <w:right w:val="single" w:color="auto" w:sz="4" w:space="0"/>
            </w:tcBorders>
            <w:noWrap/>
            <w:vAlign w:val="center"/>
          </w:tcPr>
          <w:p w14:paraId="05AB8E15">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top"/>
          </w:tcPr>
          <w:p w14:paraId="3D6B244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3.6投标人具备供应链安全管理体系认证的得2分。须提供有效期内的认证证书复印件及招标公告发出之日至投标文件递交截止时间期间从国家认证认可监督管理委员会（www.cnca.gov.cn）或在全国认证认可信息公共服务平台(http://cx.cnca.cn)上查询显示该证书状态为“有效”的网页截图，并附上网址链接备查，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45AE6E3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w:t>
            </w:r>
          </w:p>
        </w:tc>
      </w:tr>
      <w:tr w14:paraId="77F9A3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71873A9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10</w:t>
            </w:r>
          </w:p>
        </w:tc>
        <w:tc>
          <w:tcPr>
            <w:tcW w:w="696" w:type="dxa"/>
            <w:vMerge w:val="continue"/>
            <w:tcBorders>
              <w:left w:val="single" w:color="auto" w:sz="4" w:space="0"/>
              <w:right w:val="single" w:color="auto" w:sz="4" w:space="0"/>
            </w:tcBorders>
            <w:noWrap/>
            <w:vAlign w:val="center"/>
          </w:tcPr>
          <w:p w14:paraId="05DC6EA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0DF993E8">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B4.售后服务方案（满分3分）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20C5FFC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4.根据投标人提供的售后服务方案【包含但不限于①货物的运输、装卸、配送售后服务等安排计划；②设置服务热线，专人服务，专人跟踪；③服务需求响应时间、响应方式；④临时补货程序，针对发生货物不合格、发生错送、漏送（含缺斤少两及数量不足等）等】进行评分：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F6894D4">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4088F2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2331393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11</w:t>
            </w:r>
          </w:p>
        </w:tc>
        <w:tc>
          <w:tcPr>
            <w:tcW w:w="696" w:type="dxa"/>
            <w:vMerge w:val="continue"/>
            <w:tcBorders>
              <w:left w:val="single" w:color="auto" w:sz="4" w:space="0"/>
              <w:bottom w:val="single" w:color="auto" w:sz="4" w:space="0"/>
              <w:right w:val="single" w:color="auto" w:sz="4" w:space="0"/>
            </w:tcBorders>
            <w:noWrap/>
            <w:vAlign w:val="center"/>
          </w:tcPr>
          <w:p w14:paraId="7D7B2394">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tcBorders>
              <w:top w:val="single" w:color="auto" w:sz="4" w:space="0"/>
              <w:left w:val="single" w:color="auto" w:sz="4" w:space="0"/>
              <w:bottom w:val="single" w:color="auto" w:sz="4" w:space="0"/>
              <w:right w:val="single" w:color="auto" w:sz="4" w:space="0"/>
            </w:tcBorders>
            <w:noWrap/>
            <w:vAlign w:val="center"/>
          </w:tcPr>
          <w:p w14:paraId="632C2468">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B5.食品安全险（满分3分）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6E4E8F2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B5.为保障食品安全问题，供应商承诺成交后为采购人购买食品安全责任险，且赔偿限额≥800万元的得3分；500万元≤赔偿限额＜800万元得2分；300万元≤赔偿限额＜500万元得1分，承诺合同签订后30日内需提供有效的保险合同、有效期内的食品安全保险单、购买发票复印件及付款凭证，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6A6510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7E20BD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6DB7B6EB">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12</w:t>
            </w:r>
          </w:p>
        </w:tc>
        <w:tc>
          <w:tcPr>
            <w:tcW w:w="696" w:type="dxa"/>
            <w:vMerge w:val="restart"/>
            <w:tcBorders>
              <w:left w:val="single" w:color="auto" w:sz="4" w:space="0"/>
              <w:right w:val="single" w:color="auto" w:sz="4" w:space="0"/>
            </w:tcBorders>
            <w:noWrap/>
            <w:vAlign w:val="center"/>
          </w:tcPr>
          <w:p w14:paraId="4CDE4051">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技术因素</w:t>
            </w:r>
          </w:p>
        </w:tc>
        <w:tc>
          <w:tcPr>
            <w:tcW w:w="1127" w:type="dxa"/>
            <w:tcBorders>
              <w:left w:val="single" w:color="auto" w:sz="4" w:space="0"/>
              <w:right w:val="single" w:color="auto" w:sz="4" w:space="0"/>
            </w:tcBorders>
            <w:noWrap/>
            <w:vAlign w:val="center"/>
          </w:tcPr>
          <w:p w14:paraId="7ED59126">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C1.人员配置（满分3分）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0020369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1.因本项目需采购的品种多且数量大，为保障服务品质及正常履约的需要，根据投标人对本项目拟投服务人员配置、分工情况进行评议，分工情况覆盖采购、清洗、简单预处理、包装、运输、配送、搬运、售后等各个环节，同时提供人员配置清单（格式自拟）并根据岗位分工制定工作流程图得3分，岗位分工不全，或者提供的材料有缺漏的不得分。（工作流程图中不相邻岗位人员可以重复，人员配置不得低于3人，并设1名固定项目经理）。投标人须同时提供①投标截止时间前六个月（不含投标截止时间当月）中任意一个月投标人为人员缴纳社保的证明材料；若投标人为投标截止时间的当月成立的公司可提供依法缴纳社会保障资金承诺书（格式自拟）；②所有拟派服务人员劳动合同、有效身份证、有效的健康证复印件，运输岗位需增加提供驾驶证复印件。未提供或提供不全的均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7823DF8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53C95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0128069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13</w:t>
            </w:r>
          </w:p>
        </w:tc>
        <w:tc>
          <w:tcPr>
            <w:tcW w:w="696" w:type="dxa"/>
            <w:vMerge w:val="continue"/>
            <w:tcBorders>
              <w:left w:val="single" w:color="auto" w:sz="4" w:space="0"/>
              <w:right w:val="single" w:color="auto" w:sz="4" w:space="0"/>
            </w:tcBorders>
            <w:noWrap/>
            <w:vAlign w:val="top"/>
          </w:tcPr>
          <w:p w14:paraId="3BBFE311">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restart"/>
            <w:tcBorders>
              <w:left w:val="single" w:color="auto" w:sz="4" w:space="0"/>
              <w:right w:val="single" w:color="auto" w:sz="4" w:space="0"/>
            </w:tcBorders>
            <w:noWrap/>
            <w:vAlign w:val="center"/>
          </w:tcPr>
          <w:p w14:paraId="26A7F8B5">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C2.服务运营方案（满分21分）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69086C5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C2.1产品质量保障方案</w:t>
            </w:r>
          </w:p>
          <w:p w14:paraId="4FAB300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各投标人针对本项目提供的运营方案（方案应有完整健全的规章制度等，包括但不限于价格管理、物资采购来源、仓储管理、成品储藏、加工包装、食品检验、食品安全追溯、卫生监督管理、质量保证措施、文明服务、风险控制等），由评标委员会进行评议：方案详细、具体、完整，可操作性强，清晰阐述以上内容的得6分；方案较为完整，具备较好的可操作性，能基本阐述以上内容的得4分；方案内容简单、可操作性一般的得2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BA35B2A">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362E0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3B5D9F91">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14</w:t>
            </w:r>
          </w:p>
        </w:tc>
        <w:tc>
          <w:tcPr>
            <w:tcW w:w="696" w:type="dxa"/>
            <w:vMerge w:val="continue"/>
            <w:tcBorders>
              <w:left w:val="single" w:color="auto" w:sz="4" w:space="0"/>
              <w:right w:val="single" w:color="auto" w:sz="4" w:space="0"/>
            </w:tcBorders>
            <w:noWrap/>
            <w:vAlign w:val="top"/>
          </w:tcPr>
          <w:p w14:paraId="27E69732">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24106F3B">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09F1A146">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C2.2配送方案</w:t>
            </w:r>
          </w:p>
          <w:p w14:paraId="2CA09B8E">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针对本项目在满足对应采购包要求的基础上所制定的更优的配送方案（包括但不限于配送、运输方案、配送流程图、配送时间响应、配送保障措施等各项管理制度的完备性），同时供应商须出具承诺函，承诺“全年无休、全天候供货和服务，能及时退货、换货、补货”，由评标委员会进行评议：方案详细、具体、完整，可操作性强，清晰阐述以上内容的得6分；方案较为完整，具备较好的可操作性，能基本阐述以上内容的得4分；方案内容简单、可操作性一般的得2分；未提供方案或内容明显不适用于本项目需求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177DDF2">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7C431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88" w:type="dxa"/>
            <w:tcBorders>
              <w:top w:val="single" w:color="auto" w:sz="4" w:space="0"/>
              <w:left w:val="single" w:color="auto" w:sz="4" w:space="0"/>
              <w:right w:val="single" w:color="auto" w:sz="4" w:space="0"/>
            </w:tcBorders>
            <w:noWrap/>
            <w:vAlign w:val="center"/>
          </w:tcPr>
          <w:p w14:paraId="0F7D1C0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15</w:t>
            </w:r>
          </w:p>
        </w:tc>
        <w:tc>
          <w:tcPr>
            <w:tcW w:w="696" w:type="dxa"/>
            <w:vMerge w:val="continue"/>
            <w:tcBorders>
              <w:left w:val="single" w:color="auto" w:sz="4" w:space="0"/>
              <w:right w:val="single" w:color="auto" w:sz="4" w:space="0"/>
            </w:tcBorders>
            <w:noWrap/>
            <w:vAlign w:val="top"/>
          </w:tcPr>
          <w:p w14:paraId="3726F80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1EE125E3">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2DE1167B">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C2.3退换补货服务方案</w:t>
            </w:r>
          </w:p>
          <w:p w14:paraId="03BEB37E">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各投标人针对本项目提供的退换货服务方案（包括但不限于对不符合采购人要求货物的退换货、对质量不合格货物的退换货、临时采购及缺斤少两的补货、相关补偿措施、提供可替代货物、提供其他帮助等），由评标委员会进行评议：①方案详细、具体、完整，可操作性强，清晰阐述以上内容的得3分；方案较为完整，具备较好的可操作性，能基本阐述以上内容的得2分；方案内容简单、可操作性一般的得1分；未提供方案或内容明显不适用于本项目需求的不得分；②退换补货服务承诺时间：小于等于15分钟的，得3分；小于等于30分钟的，2分；小于等于40分钟的，得1分；其他不得分。（供应商须提供承诺函，否则不得分）。</w:t>
            </w:r>
          </w:p>
        </w:tc>
        <w:tc>
          <w:tcPr>
            <w:tcW w:w="838" w:type="dxa"/>
            <w:tcBorders>
              <w:top w:val="single" w:color="auto" w:sz="4" w:space="0"/>
              <w:left w:val="single" w:color="auto" w:sz="4" w:space="0"/>
              <w:right w:val="single" w:color="auto" w:sz="4" w:space="0"/>
            </w:tcBorders>
            <w:noWrap/>
            <w:vAlign w:val="center"/>
          </w:tcPr>
          <w:p w14:paraId="2CAE1901">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447AB5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88" w:type="dxa"/>
            <w:tcBorders>
              <w:top w:val="single" w:color="auto" w:sz="4" w:space="0"/>
              <w:left w:val="single" w:color="auto" w:sz="4" w:space="0"/>
              <w:right w:val="single" w:color="auto" w:sz="4" w:space="0"/>
            </w:tcBorders>
            <w:noWrap/>
            <w:vAlign w:val="center"/>
          </w:tcPr>
          <w:p w14:paraId="07224D54">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16</w:t>
            </w:r>
          </w:p>
        </w:tc>
        <w:tc>
          <w:tcPr>
            <w:tcW w:w="696" w:type="dxa"/>
            <w:vMerge w:val="restart"/>
            <w:tcBorders>
              <w:left w:val="single" w:color="auto" w:sz="4" w:space="0"/>
              <w:right w:val="single" w:color="auto" w:sz="4" w:space="0"/>
            </w:tcBorders>
            <w:noWrap/>
            <w:vAlign w:val="center"/>
          </w:tcPr>
          <w:p w14:paraId="29A354C6">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技术因素</w:t>
            </w:r>
          </w:p>
        </w:tc>
        <w:tc>
          <w:tcPr>
            <w:tcW w:w="1127" w:type="dxa"/>
            <w:vMerge w:val="continue"/>
            <w:tcBorders>
              <w:left w:val="single" w:color="auto" w:sz="4" w:space="0"/>
              <w:bottom w:val="single" w:color="auto" w:sz="8" w:space="0"/>
              <w:right w:val="single" w:color="auto" w:sz="4" w:space="0"/>
            </w:tcBorders>
            <w:noWrap/>
            <w:vAlign w:val="center"/>
          </w:tcPr>
          <w:p w14:paraId="243A99A8">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3866E00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C2.4应急方案</w:t>
            </w:r>
          </w:p>
          <w:p w14:paraId="2738BC5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各投标人针对本项目提供的应急方案（包括但不限于临时任务、节假日、重要或大型活动、防洪防台风、自然灾害、停水停电、疫情等情况下的应急预备方案及食物中毒事件应急处理方案），由评标委员会进行评议：方案详细、具体、完整，可操作性强，清晰阐述以上内容的得3分；方案较为完整，具备较好的可操作性，能基本阐述以上内容的得2分；方案内容简单、可操作性一般的得1分；未提供方案或内容明显不适用于本项目需求的不得分。</w:t>
            </w:r>
          </w:p>
        </w:tc>
        <w:tc>
          <w:tcPr>
            <w:tcW w:w="838" w:type="dxa"/>
            <w:tcBorders>
              <w:top w:val="single" w:color="auto" w:sz="4" w:space="0"/>
              <w:left w:val="single" w:color="auto" w:sz="4" w:space="0"/>
              <w:right w:val="single" w:color="auto" w:sz="4" w:space="0"/>
            </w:tcBorders>
            <w:noWrap/>
            <w:vAlign w:val="center"/>
          </w:tcPr>
          <w:p w14:paraId="7298CFA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61949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54C23BA9">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17</w:t>
            </w:r>
          </w:p>
        </w:tc>
        <w:tc>
          <w:tcPr>
            <w:tcW w:w="696" w:type="dxa"/>
            <w:vMerge w:val="continue"/>
            <w:tcBorders>
              <w:left w:val="single" w:color="auto" w:sz="4" w:space="0"/>
              <w:right w:val="single" w:color="auto" w:sz="4" w:space="0"/>
            </w:tcBorders>
            <w:noWrap/>
            <w:vAlign w:val="top"/>
          </w:tcPr>
          <w:p w14:paraId="550FDE37">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tcBorders>
              <w:left w:val="single" w:color="auto" w:sz="4" w:space="0"/>
              <w:bottom w:val="nil"/>
              <w:right w:val="single" w:color="auto" w:sz="4" w:space="0"/>
            </w:tcBorders>
            <w:noWrap/>
            <w:vAlign w:val="center"/>
          </w:tcPr>
          <w:p w14:paraId="6B00D35A">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C3.仓储能力（满分9分）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12DEE8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C3.1仓储场所</w:t>
            </w:r>
          </w:p>
          <w:p w14:paraId="6C2F88F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自有或租赁的仓储场所（不含低温仓储仓库）总面积的情况进行评分：面积≥800平方米的得6分；500平方米≤面积＜800平方米的得4分；200平方米≤面积＜500平方米的得2分；面积＜200平方米则不得分。自有产权的须提供有效的不动产产权证明；租赁的须提供有效的租赁合同（租赁期不得少于1年）、投标截止时间前三个月内任一个月（不含投标截止当月）双方租赁资金往来的证明、租金发票、场所实地（含内部、外部）照片、不动产产权证明。若为无偿租赁的还须提供税务部门对该项无偿租赁事项征收增值税的完税证明及投标截止时间前六个月内任意连续一个月（不含投标截止时间的当月）物流出仓记录。投标截止时间当月有偿（无偿）租赁的，提供租赁合同及场所实地（含内部、外部）照片、不动产产权证明视为满足上述条件，未提供或未提供齐全本项不得分。</w:t>
            </w:r>
          </w:p>
          <w:p w14:paraId="1AC37374">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注：技术评分项C3.1、C3.2为同一场所的不重复加分。</w:t>
            </w:r>
          </w:p>
        </w:tc>
        <w:tc>
          <w:tcPr>
            <w:tcW w:w="838" w:type="dxa"/>
            <w:tcBorders>
              <w:left w:val="single" w:color="auto" w:sz="4" w:space="0"/>
              <w:bottom w:val="single" w:color="auto" w:sz="4" w:space="0"/>
              <w:right w:val="single" w:color="auto" w:sz="4" w:space="0"/>
            </w:tcBorders>
            <w:noWrap/>
            <w:vAlign w:val="center"/>
          </w:tcPr>
          <w:p w14:paraId="7A1C7282">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06FFA2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10339DD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18</w:t>
            </w:r>
          </w:p>
        </w:tc>
        <w:tc>
          <w:tcPr>
            <w:tcW w:w="696" w:type="dxa"/>
            <w:vMerge w:val="continue"/>
            <w:tcBorders>
              <w:left w:val="single" w:color="auto" w:sz="4" w:space="0"/>
              <w:right w:val="single" w:color="auto" w:sz="4" w:space="0"/>
            </w:tcBorders>
            <w:noWrap/>
            <w:vAlign w:val="top"/>
          </w:tcPr>
          <w:p w14:paraId="3EF7CA1F">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tcBorders>
              <w:top w:val="nil"/>
              <w:left w:val="single" w:color="auto" w:sz="4" w:space="0"/>
              <w:bottom w:val="single" w:color="auto" w:sz="4" w:space="0"/>
              <w:right w:val="single" w:color="auto" w:sz="4" w:space="0"/>
            </w:tcBorders>
            <w:noWrap/>
            <w:vAlign w:val="center"/>
          </w:tcPr>
          <w:p w14:paraId="5D2325D9">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3511F93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C3.2生产或仓储环境</w:t>
            </w:r>
          </w:p>
          <w:p w14:paraId="63F3B7E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根据投标人提供的生产或储备环境情况（包括但不限于供应产品生产或仓储环境、存放区域设置合理性、防虫害措施等）进行评分：提供仓库物资存放布局图或生产区间设备布局图、</w:t>
            </w:r>
          </w:p>
          <w:p w14:paraId="60B168EA">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仓储现场环境照片、有效期内防虫害防治服务协议（或合同）、防虫害布控图、有关防虫害服务方面的结算发票材料，每提供一项佐证材料得0.6分，满分3分。未提供的不得分。</w:t>
            </w:r>
          </w:p>
        </w:tc>
        <w:tc>
          <w:tcPr>
            <w:tcW w:w="838" w:type="dxa"/>
            <w:tcBorders>
              <w:top w:val="single" w:color="auto" w:sz="4" w:space="0"/>
              <w:left w:val="single" w:color="auto" w:sz="4" w:space="0"/>
              <w:right w:val="single" w:color="auto" w:sz="4" w:space="0"/>
            </w:tcBorders>
            <w:noWrap/>
            <w:vAlign w:val="center"/>
          </w:tcPr>
          <w:p w14:paraId="0FB7B325">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2F5E1A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1CCEC3B6">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19</w:t>
            </w:r>
          </w:p>
        </w:tc>
        <w:tc>
          <w:tcPr>
            <w:tcW w:w="696" w:type="dxa"/>
            <w:vMerge w:val="continue"/>
            <w:tcBorders>
              <w:left w:val="single" w:color="auto" w:sz="4" w:space="0"/>
              <w:right w:val="single" w:color="auto" w:sz="4" w:space="0"/>
            </w:tcBorders>
            <w:noWrap/>
            <w:vAlign w:val="top"/>
          </w:tcPr>
          <w:p w14:paraId="50090766">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restart"/>
            <w:tcBorders>
              <w:top w:val="single" w:color="auto" w:sz="4" w:space="0"/>
              <w:left w:val="single" w:color="auto" w:sz="4" w:space="0"/>
              <w:right w:val="single" w:color="auto" w:sz="4" w:space="0"/>
            </w:tcBorders>
            <w:noWrap/>
            <w:vAlign w:val="center"/>
          </w:tcPr>
          <w:p w14:paraId="476E437A">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C4.货源保障、供货保障能力（满分12分）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197CEE55">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C4.1供货能力</w:t>
            </w:r>
          </w:p>
          <w:p w14:paraId="0F989F18">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供货能力（重点考核货源渠道等），由评委会进行评议：提供一份包含采购包3食用油供货合同的得1分；提供一份调味品类供货合同的得1分；提供一份干货类供货合同的得1分；可以提供多个供应商的上述品类供货合同，满分6分，超出上述品类范围的不得分。须同时提供有效期内的采购合同复印件及投标截止时间前六个月内任一个月（不含投标截止当月）双方资金往来的证明、采购发票、采购发票上未列明具体采购货物名称的须附采购清单，若为投标截止时间当月签订的采购合同，提供采购合同复印件的视为满足上述条件。未提供或提供不全的不得分。</w:t>
            </w:r>
          </w:p>
        </w:tc>
        <w:tc>
          <w:tcPr>
            <w:tcW w:w="838" w:type="dxa"/>
            <w:tcBorders>
              <w:left w:val="single" w:color="auto" w:sz="4" w:space="0"/>
              <w:bottom w:val="single" w:color="auto" w:sz="4" w:space="0"/>
              <w:right w:val="single" w:color="auto" w:sz="4" w:space="0"/>
            </w:tcBorders>
            <w:noWrap/>
            <w:vAlign w:val="center"/>
          </w:tcPr>
          <w:p w14:paraId="146C344E">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160224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460092A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20</w:t>
            </w:r>
          </w:p>
        </w:tc>
        <w:tc>
          <w:tcPr>
            <w:tcW w:w="696" w:type="dxa"/>
            <w:vMerge w:val="continue"/>
            <w:tcBorders>
              <w:left w:val="single" w:color="auto" w:sz="4" w:space="0"/>
              <w:right w:val="single" w:color="auto" w:sz="4" w:space="0"/>
            </w:tcBorders>
            <w:noWrap/>
            <w:vAlign w:val="top"/>
          </w:tcPr>
          <w:p w14:paraId="4F7F3265">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bottom w:val="single" w:color="auto" w:sz="4" w:space="0"/>
              <w:right w:val="single" w:color="auto" w:sz="4" w:space="0"/>
            </w:tcBorders>
            <w:noWrap/>
            <w:vAlign w:val="center"/>
          </w:tcPr>
          <w:p w14:paraId="2879024D">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17D98622">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C4.2厢式货车</w:t>
            </w:r>
          </w:p>
          <w:p w14:paraId="440AB02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根据投标人在满足招标文件要求的厢式货车配备（1辆）的基础上，增加1辆应急保障厢式货车的得2分。须同时提供①车辆行驶证及完整的车辆登记证复印件、车辆照片（含车辆内部照片）；②自有车辆所有人应与投标人一致，租赁车辆须提供租赁或运输合同。未提供或提供不全的不得分。（所有证件需在有效期内否则不得分）</w:t>
            </w:r>
          </w:p>
        </w:tc>
        <w:tc>
          <w:tcPr>
            <w:tcW w:w="838" w:type="dxa"/>
            <w:tcBorders>
              <w:left w:val="single" w:color="auto" w:sz="4" w:space="0"/>
              <w:bottom w:val="single" w:color="auto" w:sz="4" w:space="0"/>
              <w:right w:val="single" w:color="auto" w:sz="4" w:space="0"/>
            </w:tcBorders>
            <w:noWrap/>
            <w:vAlign w:val="center"/>
          </w:tcPr>
          <w:p w14:paraId="4CEA4130">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3C857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1D056D9E">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21</w:t>
            </w:r>
          </w:p>
        </w:tc>
        <w:tc>
          <w:tcPr>
            <w:tcW w:w="696" w:type="dxa"/>
            <w:vMerge w:val="continue"/>
            <w:tcBorders>
              <w:left w:val="single" w:color="auto" w:sz="4" w:space="0"/>
              <w:right w:val="single" w:color="auto" w:sz="4" w:space="0"/>
            </w:tcBorders>
            <w:noWrap/>
            <w:vAlign w:val="top"/>
          </w:tcPr>
          <w:p w14:paraId="336DA2D1">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restart"/>
            <w:tcBorders>
              <w:top w:val="single" w:color="auto" w:sz="4" w:space="0"/>
              <w:left w:val="single" w:color="auto" w:sz="4" w:space="0"/>
              <w:right w:val="single" w:color="auto" w:sz="4" w:space="0"/>
            </w:tcBorders>
            <w:noWrap/>
            <w:vAlign w:val="center"/>
          </w:tcPr>
          <w:p w14:paraId="0DE713A1">
            <w:pPr>
              <w:tabs>
                <w:tab w:val="center" w:pos="4890"/>
              </w:tabs>
              <w:spacing w:line="400" w:lineRule="exact"/>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C5.食品安全保障及检验能力（满分16分）</w:t>
            </w:r>
          </w:p>
        </w:tc>
        <w:tc>
          <w:tcPr>
            <w:tcW w:w="5677" w:type="dxa"/>
            <w:tcBorders>
              <w:top w:val="single" w:color="auto" w:sz="4" w:space="0"/>
              <w:left w:val="single" w:color="auto" w:sz="4" w:space="0"/>
              <w:bottom w:val="single" w:color="auto" w:sz="4" w:space="0"/>
              <w:right w:val="single" w:color="auto" w:sz="4" w:space="0"/>
            </w:tcBorders>
            <w:noWrap/>
            <w:vAlign w:val="center"/>
          </w:tcPr>
          <w:p w14:paraId="63B30696">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C5.1检测能力</w:t>
            </w:r>
          </w:p>
          <w:p w14:paraId="59E3627A">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的检测能力（自有或合作检验检测实验室）情况进行评分：实验室面积≥300平方米的得2.5分；150平方米≤实验室面积＜300平方米的得2分；实验室面积＜150平方米的得1分。须同时提供①检验检测室不动产或房产登记证明、检验检测室照片，租赁的须提供租赁协议、资金往来证明；若为无偿租赁的还须提供税务部门对该项无偿租赁事项征收增值税的完税证明。②自有的须提供检测资质证明材料，合作方的须提供合作协议、合作方的营业执照（经营范围须包含农产品检测业务）或合作方的国家认证的检测资质证明材料。投标截止时间当月有偿（无偿）租赁的，无需提供资金往来证明或税务部门对该项无偿租赁事项征收增值税的完税证明。未提供或未提供齐全本项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1342A05D">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2.5</w:t>
            </w:r>
          </w:p>
        </w:tc>
      </w:tr>
      <w:tr w14:paraId="04091E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72702A1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22</w:t>
            </w:r>
          </w:p>
        </w:tc>
        <w:tc>
          <w:tcPr>
            <w:tcW w:w="696" w:type="dxa"/>
            <w:vMerge w:val="continue"/>
            <w:tcBorders>
              <w:left w:val="single" w:color="auto" w:sz="4" w:space="0"/>
              <w:right w:val="single" w:color="auto" w:sz="4" w:space="0"/>
            </w:tcBorders>
            <w:noWrap/>
            <w:vAlign w:val="top"/>
          </w:tcPr>
          <w:p w14:paraId="4904235E">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6EAD1438">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6A02D8B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C5.2检测设备</w:t>
            </w:r>
          </w:p>
          <w:p w14:paraId="28D6CCB1">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能为本项目配备食品检验检疫设备情况进行评分：具备水分检测、微生物检测、食品安全检测、食品重金属检测、食品甲醛检测、农药残留检测、食品添加剂检测功能的，满足上述任意一种功能得0.5分，满分3.5分。须同时提供①配套设施设备清单、设备实物照片、设备彩页或功能介绍，②自有设备须提供购置发票，租赁设备须提供租赁合同及投标截止时间前六个月内任一个月（不含投标截止当月）双方租赁资金往来的证明、租金发票，若为无偿租赁的还须提供税务部门对该项无偿租赁事项征收增值税的完税证明。若为投标截止时间当月租赁的，提供租赁合同视为满足上述条件，③承诺所购买的设备投入本项目使用（承诺函格式自拟），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292D6D6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3.5</w:t>
            </w:r>
          </w:p>
        </w:tc>
      </w:tr>
      <w:tr w14:paraId="6CC32E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71DC7573">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23</w:t>
            </w:r>
          </w:p>
        </w:tc>
        <w:tc>
          <w:tcPr>
            <w:tcW w:w="696" w:type="dxa"/>
            <w:vMerge w:val="continue"/>
            <w:tcBorders>
              <w:left w:val="single" w:color="auto" w:sz="4" w:space="0"/>
              <w:right w:val="single" w:color="auto" w:sz="4" w:space="0"/>
            </w:tcBorders>
            <w:noWrap/>
            <w:vAlign w:val="top"/>
          </w:tcPr>
          <w:p w14:paraId="1BE21AA3">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0D8F60D8">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4260CE5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C5.3检测报告</w:t>
            </w:r>
          </w:p>
          <w:p w14:paraId="76D80ACD">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根据投标人提供的投标截止时间前六个月内，以投标人名义送检的涵盖采购包3调味品、食用油、干货类检测报告情况进行打分：调味品、食用油、干货类等任意一种品</w:t>
            </w:r>
            <w:r>
              <w:rPr>
                <w:rFonts w:hint="eastAsia" w:ascii="宋体" w:hAnsi="宋体" w:cs="宋体"/>
                <w:snapToGrid/>
                <w:sz w:val="21"/>
                <w:szCs w:val="21"/>
                <w:lang w:val="en-US" w:eastAsia="zh-CN" w:bidi="ar-SA"/>
              </w:rPr>
              <w:t>种</w:t>
            </w:r>
            <w:r>
              <w:rPr>
                <w:rFonts w:hint="eastAsia" w:ascii="宋体" w:hAnsi="宋体" w:eastAsia="宋体" w:cs="宋体"/>
                <w:snapToGrid/>
                <w:sz w:val="21"/>
                <w:szCs w:val="21"/>
                <w:lang w:val="en-US" w:eastAsia="zh-CN" w:bidi="ar-SA"/>
              </w:rPr>
              <w:t>提供一个月的检测报告得1分，品种重复的不得分，满分6分。须提供第三方机构出具的封面带有CMA或CNAS标识的检测合格报告复印件,未提供或超出采购包所含品类范围的不得分。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5DC2FEC">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6</w:t>
            </w:r>
          </w:p>
        </w:tc>
      </w:tr>
      <w:tr w14:paraId="620B1D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1BCF2D92">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24</w:t>
            </w:r>
          </w:p>
        </w:tc>
        <w:tc>
          <w:tcPr>
            <w:tcW w:w="696" w:type="dxa"/>
            <w:vMerge w:val="continue"/>
            <w:tcBorders>
              <w:left w:val="single" w:color="auto" w:sz="4" w:space="0"/>
              <w:right w:val="single" w:color="auto" w:sz="4" w:space="0"/>
            </w:tcBorders>
            <w:noWrap/>
            <w:vAlign w:val="top"/>
          </w:tcPr>
          <w:p w14:paraId="2766D9BD">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right w:val="single" w:color="auto" w:sz="4" w:space="0"/>
            </w:tcBorders>
            <w:noWrap/>
            <w:vAlign w:val="center"/>
          </w:tcPr>
          <w:p w14:paraId="160D8F34">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774EB0B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C5.4检验人员</w:t>
            </w:r>
          </w:p>
          <w:p w14:paraId="54775A3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r>
              <w:rPr>
                <w:rFonts w:hint="eastAsia" w:ascii="宋体" w:hAnsi="宋体" w:eastAsia="宋体" w:cs="宋体"/>
                <w:snapToGrid/>
                <w:sz w:val="21"/>
                <w:szCs w:val="21"/>
                <w:lang w:val="en-US" w:eastAsia="zh-CN" w:bidi="ar-SA"/>
              </w:rPr>
              <w:t>根据投标人为本项目拟配备的具有中级（四级）及以上食品检验员（工）的，提供一名得1分。须同时提供有效的人员证书、健康证、身份证正反面复印件及投标截止时间前六个月内（不含投标截止当月）投标人为上述人员缴纳社会保险的证明材料（社保证明材料须由社保中心出具或网上缴纳后打印签电子章），若投标人为投标截止时间的当月成立的公司可提供依法缴纳社会保障资金承诺书（格式自拟）；未提供或提供不全的不得分。</w:t>
            </w:r>
          </w:p>
        </w:tc>
        <w:tc>
          <w:tcPr>
            <w:tcW w:w="838" w:type="dxa"/>
            <w:tcBorders>
              <w:top w:val="single" w:color="auto" w:sz="4" w:space="0"/>
              <w:left w:val="single" w:color="auto" w:sz="4" w:space="0"/>
              <w:bottom w:val="single" w:color="auto" w:sz="4" w:space="0"/>
              <w:right w:val="single" w:color="auto" w:sz="4" w:space="0"/>
            </w:tcBorders>
            <w:noWrap/>
            <w:vAlign w:val="center"/>
          </w:tcPr>
          <w:p w14:paraId="30CA8E78">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1</w:t>
            </w:r>
          </w:p>
        </w:tc>
      </w:tr>
      <w:tr w14:paraId="3940B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688" w:type="dxa"/>
            <w:tcBorders>
              <w:top w:val="single" w:color="auto" w:sz="4" w:space="0"/>
              <w:left w:val="single" w:color="auto" w:sz="4" w:space="0"/>
              <w:bottom w:val="single" w:color="auto" w:sz="4" w:space="0"/>
              <w:right w:val="single" w:color="auto" w:sz="4" w:space="0"/>
            </w:tcBorders>
            <w:noWrap/>
            <w:vAlign w:val="center"/>
          </w:tcPr>
          <w:p w14:paraId="3A66DE7F">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25</w:t>
            </w:r>
          </w:p>
        </w:tc>
        <w:tc>
          <w:tcPr>
            <w:tcW w:w="696" w:type="dxa"/>
            <w:vMerge w:val="continue"/>
            <w:tcBorders>
              <w:left w:val="single" w:color="auto" w:sz="4" w:space="0"/>
              <w:right w:val="single" w:color="auto" w:sz="4" w:space="0"/>
            </w:tcBorders>
            <w:noWrap/>
            <w:vAlign w:val="top"/>
          </w:tcPr>
          <w:p w14:paraId="737347EC">
            <w:pPr>
              <w:tabs>
                <w:tab w:val="center" w:pos="4890"/>
              </w:tabs>
              <w:spacing w:line="400" w:lineRule="exact"/>
              <w:ind w:firstLine="420" w:firstLineChars="200"/>
              <w:jc w:val="left"/>
              <w:rPr>
                <w:rFonts w:hint="eastAsia" w:ascii="宋体" w:hAnsi="宋体" w:eastAsia="宋体" w:cs="宋体"/>
                <w:snapToGrid/>
                <w:sz w:val="21"/>
                <w:szCs w:val="21"/>
                <w:lang w:val="zh-CN" w:eastAsia="zh-CN" w:bidi="ar-SA"/>
              </w:rPr>
            </w:pPr>
          </w:p>
        </w:tc>
        <w:tc>
          <w:tcPr>
            <w:tcW w:w="1127" w:type="dxa"/>
            <w:vMerge w:val="continue"/>
            <w:tcBorders>
              <w:left w:val="single" w:color="auto" w:sz="4" w:space="0"/>
              <w:bottom w:val="single" w:color="auto" w:sz="4" w:space="0"/>
              <w:right w:val="single" w:color="auto" w:sz="4" w:space="0"/>
            </w:tcBorders>
            <w:noWrap/>
            <w:vAlign w:val="center"/>
          </w:tcPr>
          <w:p w14:paraId="64E58F9D">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p>
        </w:tc>
        <w:tc>
          <w:tcPr>
            <w:tcW w:w="5677" w:type="dxa"/>
            <w:tcBorders>
              <w:top w:val="single" w:color="auto" w:sz="4" w:space="0"/>
              <w:left w:val="single" w:color="auto" w:sz="4" w:space="0"/>
              <w:bottom w:val="single" w:color="auto" w:sz="4" w:space="0"/>
              <w:right w:val="single" w:color="auto" w:sz="4" w:space="0"/>
            </w:tcBorders>
            <w:noWrap/>
            <w:vAlign w:val="center"/>
          </w:tcPr>
          <w:p w14:paraId="17EAF843">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C5.5追溯管理</w:t>
            </w:r>
          </w:p>
          <w:p w14:paraId="7E10801C">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投标人按照市场监督管理部门规定的“一品一码”要求，做到食品采购信息可追溯，须按采购包3调味品、食用油、干货类提供投标截止时间前三个月内任一个月（不含投标截止当月），食品生产经营追溯管理系统录入信息或相关系统录入信息,每提供一种品类得1分，满分3分。须提供相关网络信息截图及网站网址，并明显标注采购包所含品类范围，同时辅以往期的进货单。</w:t>
            </w:r>
          </w:p>
        </w:tc>
        <w:tc>
          <w:tcPr>
            <w:tcW w:w="838" w:type="dxa"/>
            <w:tcBorders>
              <w:top w:val="single" w:color="auto" w:sz="4" w:space="0"/>
              <w:left w:val="single" w:color="auto" w:sz="4" w:space="0"/>
              <w:bottom w:val="single" w:color="auto" w:sz="4" w:space="0"/>
              <w:right w:val="single" w:color="auto" w:sz="4" w:space="0"/>
            </w:tcBorders>
            <w:noWrap/>
            <w:vAlign w:val="center"/>
          </w:tcPr>
          <w:p w14:paraId="72C317B2">
            <w:pPr>
              <w:tabs>
                <w:tab w:val="center" w:pos="4890"/>
              </w:tabs>
              <w:spacing w:line="400" w:lineRule="exact"/>
              <w:jc w:val="center"/>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3</w:t>
            </w:r>
          </w:p>
        </w:tc>
      </w:tr>
      <w:tr w14:paraId="3D6968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8188" w:type="dxa"/>
            <w:gridSpan w:val="4"/>
            <w:tcBorders>
              <w:top w:val="single" w:color="auto" w:sz="4" w:space="0"/>
              <w:left w:val="single" w:color="auto" w:sz="4" w:space="0"/>
              <w:bottom w:val="single" w:color="auto" w:sz="4" w:space="0"/>
              <w:right w:val="single" w:color="auto" w:sz="4" w:space="0"/>
            </w:tcBorders>
            <w:noWrap/>
            <w:vAlign w:val="center"/>
          </w:tcPr>
          <w:p w14:paraId="225D7431">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合     计</w:t>
            </w:r>
          </w:p>
        </w:tc>
        <w:tc>
          <w:tcPr>
            <w:tcW w:w="838" w:type="dxa"/>
            <w:tcBorders>
              <w:top w:val="single" w:color="auto" w:sz="4" w:space="0"/>
              <w:left w:val="single" w:color="auto" w:sz="4" w:space="0"/>
              <w:bottom w:val="single" w:color="auto" w:sz="4" w:space="0"/>
              <w:right w:val="single" w:color="auto" w:sz="4" w:space="0"/>
            </w:tcBorders>
            <w:noWrap/>
            <w:vAlign w:val="center"/>
          </w:tcPr>
          <w:p w14:paraId="4B40F289">
            <w:pPr>
              <w:tabs>
                <w:tab w:val="center" w:pos="4890"/>
              </w:tabs>
              <w:spacing w:line="400" w:lineRule="exact"/>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 xml:space="preserve">100 </w:t>
            </w:r>
          </w:p>
        </w:tc>
      </w:tr>
      <w:tr w14:paraId="665ED2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26" w:type="dxa"/>
            <w:gridSpan w:val="5"/>
            <w:tcBorders>
              <w:top w:val="single" w:color="auto" w:sz="4" w:space="0"/>
              <w:left w:val="single" w:color="auto" w:sz="4" w:space="0"/>
              <w:bottom w:val="single" w:color="auto" w:sz="4" w:space="0"/>
              <w:right w:val="single" w:color="auto" w:sz="4" w:space="0"/>
            </w:tcBorders>
            <w:noWrap/>
            <w:vAlign w:val="center"/>
          </w:tcPr>
          <w:p w14:paraId="254C97D6">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各投标人的商务部分得分B=B1+B2+B3+B4+B5</w:t>
            </w:r>
          </w:p>
        </w:tc>
      </w:tr>
      <w:tr w14:paraId="2959F3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26" w:type="dxa"/>
            <w:gridSpan w:val="5"/>
            <w:tcBorders>
              <w:top w:val="single" w:color="auto" w:sz="4" w:space="0"/>
              <w:left w:val="single" w:color="auto" w:sz="4" w:space="0"/>
              <w:bottom w:val="single" w:color="auto" w:sz="4" w:space="0"/>
              <w:right w:val="single" w:color="auto" w:sz="4" w:space="0"/>
            </w:tcBorders>
            <w:noWrap/>
            <w:vAlign w:val="center"/>
          </w:tcPr>
          <w:p w14:paraId="0F98FA59">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各投标人的技术部分得分C=C1+C2+C3+C4+C5</w:t>
            </w:r>
          </w:p>
        </w:tc>
      </w:tr>
      <w:tr w14:paraId="57C90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26" w:type="dxa"/>
            <w:gridSpan w:val="5"/>
            <w:tcBorders>
              <w:top w:val="single" w:color="auto" w:sz="4" w:space="0"/>
              <w:left w:val="single" w:color="auto" w:sz="4" w:space="0"/>
              <w:bottom w:val="single" w:color="auto" w:sz="4" w:space="0"/>
              <w:right w:val="single" w:color="auto" w:sz="4" w:space="0"/>
            </w:tcBorders>
            <w:noWrap/>
            <w:vAlign w:val="top"/>
          </w:tcPr>
          <w:p w14:paraId="56533967">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各投标人的最终得分为A+B+C</w:t>
            </w:r>
          </w:p>
        </w:tc>
      </w:tr>
      <w:tr w14:paraId="72DE94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026" w:type="dxa"/>
            <w:gridSpan w:val="5"/>
            <w:tcBorders>
              <w:top w:val="single" w:color="auto" w:sz="4" w:space="0"/>
              <w:left w:val="single" w:color="auto" w:sz="4" w:space="0"/>
              <w:bottom w:val="single" w:color="auto" w:sz="4" w:space="0"/>
              <w:right w:val="single" w:color="auto" w:sz="4" w:space="0"/>
            </w:tcBorders>
            <w:noWrap/>
            <w:vAlign w:val="center"/>
          </w:tcPr>
          <w:p w14:paraId="4546720C">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注：1.评分项中涉及的相关证明材料（如证书、公告、合同、通知书、验收证明、荣誉证明等）若有属于“可以通过互联网或者相关信息系统查询的信息”，投标人可不提供复印件，提供查询网址链接、证书编号（或提供查询所需信息）视同响应评分项要求。若评标委员会通过投标人提供的查询网址链接无法查询或查询到信息不符合招标文件要求的，评标委员会将按照不利于投标人的内容进行认定。此条款表述若与上述评分项表述有矛盾，以此条款为准。</w:t>
            </w:r>
          </w:p>
          <w:p w14:paraId="56F0CE0F">
            <w:pPr>
              <w:tabs>
                <w:tab w:val="center" w:pos="4890"/>
              </w:tabs>
              <w:spacing w:line="400" w:lineRule="exact"/>
              <w:ind w:firstLine="420" w:firstLineChars="200"/>
              <w:jc w:val="left"/>
              <w:rPr>
                <w:rFonts w:hint="eastAsia" w:ascii="宋体" w:hAnsi="宋体" w:eastAsia="宋体" w:cs="宋体"/>
                <w:snapToGrid/>
                <w:sz w:val="21"/>
                <w:szCs w:val="21"/>
                <w:lang w:val="en-US" w:eastAsia="zh-CN" w:bidi="ar-SA"/>
              </w:rPr>
            </w:pPr>
            <w:r>
              <w:rPr>
                <w:rFonts w:hint="eastAsia" w:ascii="宋体" w:hAnsi="宋体" w:eastAsia="宋体" w:cs="宋体"/>
                <w:snapToGrid/>
                <w:sz w:val="21"/>
                <w:szCs w:val="21"/>
                <w:lang w:val="en-US" w:eastAsia="zh-CN" w:bidi="ar-SA"/>
              </w:rPr>
              <w:t>2.评分项中涉及的“人社部颁发的”指中华人民共和国人力资源和社会保障部或中华人民共和国人力资源和社会保障部备案公布的用人单位和社会培训评价组织颁发的均可。</w:t>
            </w:r>
          </w:p>
        </w:tc>
      </w:tr>
    </w:tbl>
    <w:p w14:paraId="034D8FBD">
      <w:pPr>
        <w:keepNext w:val="0"/>
        <w:keepLines w:val="0"/>
        <w:pageBreakBefore w:val="0"/>
        <w:widowControl w:val="0"/>
        <w:kinsoku/>
        <w:wordWrap/>
        <w:overflowPunct/>
        <w:topLinePunct/>
        <w:autoSpaceDE w:val="0"/>
        <w:autoSpaceDN w:val="0"/>
        <w:bidi w:val="0"/>
        <w:adjustRightInd/>
        <w:snapToGrid/>
        <w:spacing w:after="0" w:line="360" w:lineRule="auto"/>
        <w:ind w:firstLine="42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1"/>
          <w:szCs w:val="21"/>
          <w:highlight w:val="none"/>
        </w:rPr>
        <w:t>2.3 落实政府采购政策进行价格调整的规则：</w:t>
      </w:r>
      <w:r>
        <w:rPr>
          <w:rFonts w:hint="eastAsia" w:ascii="Times New Roman" w:hAnsi="Times New Roman"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3个合同包通用）</w:t>
      </w:r>
    </w:p>
    <w:tbl>
      <w:tblPr>
        <w:tblStyle w:val="16"/>
        <w:tblW w:w="89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67"/>
        <w:gridCol w:w="1962"/>
        <w:gridCol w:w="3355"/>
      </w:tblGrid>
      <w:tr w14:paraId="07A13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7" w:type="dxa"/>
            <w:noWrap w:val="0"/>
            <w:vAlign w:val="center"/>
          </w:tcPr>
          <w:p w14:paraId="430388CD">
            <w:pPr>
              <w:pStyle w:val="20"/>
              <w:widowControl w:val="0"/>
              <w:spacing w:line="360" w:lineRule="auto"/>
              <w:jc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政府采购政策</w:t>
            </w:r>
          </w:p>
        </w:tc>
        <w:tc>
          <w:tcPr>
            <w:tcW w:w="1962" w:type="dxa"/>
            <w:noWrap w:val="0"/>
            <w:vAlign w:val="center"/>
          </w:tcPr>
          <w:p w14:paraId="24C3DA0D">
            <w:pPr>
              <w:pStyle w:val="20"/>
              <w:widowControl w:val="0"/>
              <w:spacing w:line="360" w:lineRule="auto"/>
              <w:jc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价格扣除规则</w:t>
            </w:r>
          </w:p>
        </w:tc>
        <w:tc>
          <w:tcPr>
            <w:tcW w:w="3355" w:type="dxa"/>
            <w:noWrap w:val="0"/>
            <w:vAlign w:val="center"/>
          </w:tcPr>
          <w:p w14:paraId="44CBF82B">
            <w:pPr>
              <w:pStyle w:val="20"/>
              <w:widowControl w:val="0"/>
              <w:spacing w:line="360" w:lineRule="auto"/>
              <w:jc w:val="center"/>
              <w:rPr>
                <w:rFonts w:hint="default" w:ascii="Times New Roman" w:hAnsi="Times New Roman" w:cs="Times New Roman"/>
                <w:b/>
                <w:color w:val="auto"/>
                <w:kern w:val="2"/>
                <w:sz w:val="21"/>
                <w:szCs w:val="21"/>
                <w:highlight w:val="none"/>
              </w:rPr>
            </w:pPr>
            <w:r>
              <w:rPr>
                <w:rFonts w:hint="default" w:ascii="Times New Roman" w:hAnsi="Times New Roman" w:cs="Times New Roman"/>
                <w:b/>
                <w:color w:val="auto"/>
                <w:kern w:val="2"/>
                <w:sz w:val="21"/>
                <w:szCs w:val="21"/>
                <w:highlight w:val="none"/>
              </w:rPr>
              <w:t>享受价格扣除的条件</w:t>
            </w:r>
          </w:p>
        </w:tc>
      </w:tr>
      <w:tr w14:paraId="24523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7" w:type="dxa"/>
            <w:noWrap w:val="0"/>
            <w:vAlign w:val="center"/>
          </w:tcPr>
          <w:p w14:paraId="4A1E6159">
            <w:pPr>
              <w:pStyle w:val="20"/>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节约能源政策</w:t>
            </w:r>
          </w:p>
        </w:tc>
        <w:tc>
          <w:tcPr>
            <w:tcW w:w="1962" w:type="dxa"/>
            <w:noWrap w:val="0"/>
            <w:vAlign w:val="center"/>
          </w:tcPr>
          <w:p w14:paraId="3714ECEE">
            <w:pPr>
              <w:pStyle w:val="20"/>
              <w:widowControl w:val="0"/>
              <w:spacing w:line="360" w:lineRule="auto"/>
              <w:jc w:val="center"/>
              <w:rPr>
                <w:rFonts w:hint="default"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无</w:t>
            </w:r>
          </w:p>
        </w:tc>
        <w:tc>
          <w:tcPr>
            <w:tcW w:w="3355" w:type="dxa"/>
            <w:noWrap w:val="0"/>
            <w:vAlign w:val="center"/>
          </w:tcPr>
          <w:p w14:paraId="248AB559">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r>
      <w:tr w14:paraId="00997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7" w:type="dxa"/>
            <w:noWrap w:val="0"/>
            <w:vAlign w:val="center"/>
          </w:tcPr>
          <w:p w14:paraId="0AEC4008">
            <w:pPr>
              <w:pStyle w:val="20"/>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保护环境政策</w:t>
            </w:r>
          </w:p>
        </w:tc>
        <w:tc>
          <w:tcPr>
            <w:tcW w:w="1962" w:type="dxa"/>
            <w:noWrap w:val="0"/>
            <w:vAlign w:val="center"/>
          </w:tcPr>
          <w:p w14:paraId="0695737D">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c>
          <w:tcPr>
            <w:tcW w:w="3355" w:type="dxa"/>
            <w:noWrap w:val="0"/>
            <w:vAlign w:val="center"/>
          </w:tcPr>
          <w:p w14:paraId="7C5BE9F7">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r>
      <w:tr w14:paraId="26385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7" w:type="dxa"/>
            <w:noWrap w:val="0"/>
            <w:vAlign w:val="center"/>
          </w:tcPr>
          <w:p w14:paraId="7ED8E4A8">
            <w:pPr>
              <w:pStyle w:val="20"/>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促进中小企业发展政策</w:t>
            </w:r>
          </w:p>
        </w:tc>
        <w:tc>
          <w:tcPr>
            <w:tcW w:w="1962" w:type="dxa"/>
            <w:noWrap w:val="0"/>
            <w:vAlign w:val="center"/>
          </w:tcPr>
          <w:p w14:paraId="49DF40A1">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c>
          <w:tcPr>
            <w:tcW w:w="3355" w:type="dxa"/>
            <w:noWrap w:val="0"/>
            <w:vAlign w:val="center"/>
          </w:tcPr>
          <w:p w14:paraId="58BA5A8D">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r>
      <w:tr w14:paraId="199AF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7" w:type="dxa"/>
            <w:noWrap w:val="0"/>
            <w:vAlign w:val="center"/>
          </w:tcPr>
          <w:p w14:paraId="49030056">
            <w:pPr>
              <w:pStyle w:val="20"/>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促进残疾人就业政策</w:t>
            </w:r>
          </w:p>
        </w:tc>
        <w:tc>
          <w:tcPr>
            <w:tcW w:w="1962" w:type="dxa"/>
            <w:noWrap w:val="0"/>
            <w:vAlign w:val="center"/>
          </w:tcPr>
          <w:p w14:paraId="4FF1BDF3">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c>
          <w:tcPr>
            <w:tcW w:w="3355" w:type="dxa"/>
            <w:noWrap w:val="0"/>
            <w:vAlign w:val="center"/>
          </w:tcPr>
          <w:p w14:paraId="1F301145">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r>
      <w:tr w14:paraId="3670D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667" w:type="dxa"/>
            <w:noWrap w:val="0"/>
            <w:vAlign w:val="center"/>
          </w:tcPr>
          <w:p w14:paraId="1003EFF8">
            <w:pPr>
              <w:pStyle w:val="20"/>
              <w:widowControl w:val="0"/>
              <w:spacing w:line="360" w:lineRule="auto"/>
              <w:jc w:val="center"/>
              <w:rPr>
                <w:rFonts w:hint="default" w:ascii="宋体" w:hAnsi="宋体"/>
                <w:color w:val="auto"/>
                <w:kern w:val="2"/>
                <w:sz w:val="21"/>
                <w:szCs w:val="21"/>
                <w:highlight w:val="none"/>
              </w:rPr>
            </w:pPr>
            <w:r>
              <w:rPr>
                <w:rFonts w:ascii="宋体" w:hAnsi="宋体"/>
                <w:color w:val="auto"/>
                <w:kern w:val="2"/>
                <w:sz w:val="21"/>
                <w:szCs w:val="21"/>
                <w:highlight w:val="none"/>
              </w:rPr>
              <w:t>支持监狱企业发展政策</w:t>
            </w:r>
          </w:p>
        </w:tc>
        <w:tc>
          <w:tcPr>
            <w:tcW w:w="1962" w:type="dxa"/>
            <w:noWrap w:val="0"/>
            <w:vAlign w:val="center"/>
          </w:tcPr>
          <w:p w14:paraId="39D7873D">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c>
          <w:tcPr>
            <w:tcW w:w="3355" w:type="dxa"/>
            <w:noWrap w:val="0"/>
            <w:vAlign w:val="center"/>
          </w:tcPr>
          <w:p w14:paraId="3539E4F0">
            <w:pPr>
              <w:pStyle w:val="20"/>
              <w:widowControl w:val="0"/>
              <w:spacing w:line="360" w:lineRule="auto"/>
              <w:jc w:val="center"/>
              <w:rPr>
                <w:rFonts w:hint="default" w:ascii="宋体" w:hAnsi="宋体"/>
                <w:color w:val="auto"/>
                <w:kern w:val="2"/>
                <w:sz w:val="21"/>
                <w:szCs w:val="21"/>
                <w:highlight w:val="none"/>
              </w:rPr>
            </w:pPr>
            <w:r>
              <w:rPr>
                <w:rFonts w:hint="eastAsia" w:ascii="宋体" w:hAnsi="宋体"/>
                <w:color w:val="auto"/>
                <w:kern w:val="2"/>
                <w:sz w:val="21"/>
                <w:szCs w:val="21"/>
                <w:highlight w:val="none"/>
                <w:lang w:val="en-US" w:eastAsia="zh-CN"/>
              </w:rPr>
              <w:t>无</w:t>
            </w:r>
          </w:p>
        </w:tc>
      </w:tr>
    </w:tbl>
    <w:p w14:paraId="0D3CC197">
      <w:pPr>
        <w:pStyle w:val="20"/>
        <w:keepNext w:val="0"/>
        <w:keepLines w:val="0"/>
        <w:pageBreakBefore w:val="0"/>
        <w:widowControl w:val="0"/>
        <w:kinsoku/>
        <w:wordWrap/>
        <w:overflowPunct/>
        <w:bidi w:val="0"/>
        <w:spacing w:line="360" w:lineRule="auto"/>
        <w:ind w:firstLine="420" w:firstLineChars="200"/>
        <w:jc w:val="both"/>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2.4推荐中标候选人</w:t>
      </w:r>
    </w:p>
    <w:p w14:paraId="6C98C1C4">
      <w:pPr>
        <w:keepNext w:val="0"/>
        <w:keepLines w:val="0"/>
        <w:pageBreakBefore w:val="0"/>
        <w:widowControl/>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2.4.1按评审后得分由高到低顺序排列。得分相同的，按投标报价由低到高顺序排列。得分且投标报价相同的并列。</w:t>
      </w:r>
    </w:p>
    <w:p w14:paraId="3B1FD8B2">
      <w:pPr>
        <w:keepNext w:val="0"/>
        <w:keepLines w:val="0"/>
        <w:pageBreakBefore w:val="0"/>
        <w:widowControl/>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2.4.2本采购包推荐中标候选人的数量：</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1</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家。</w:t>
      </w:r>
    </w:p>
    <w:p w14:paraId="2B693ECF">
      <w:pPr>
        <w:keepNext w:val="0"/>
        <w:keepLines w:val="0"/>
        <w:pageBreakBefore w:val="0"/>
        <w:widowControl/>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2.4.3中标人数量：</w:t>
      </w:r>
      <w:r>
        <w:rPr>
          <w:rFonts w:hint="default" w:ascii="Times New Roman" w:hAnsi="Times New Roman" w:cs="Times New Roman"/>
          <w:color w:val="auto"/>
          <w:sz w:val="21"/>
          <w:szCs w:val="21"/>
          <w:highlight w:val="none"/>
          <w:u w:val="single"/>
        </w:rPr>
        <w:t xml:space="preserve">  </w:t>
      </w:r>
      <w:r>
        <w:rPr>
          <w:rFonts w:hint="eastAsia" w:ascii="Times New Roman" w:hAnsi="Times New Roman" w:cs="Times New Roman"/>
          <w:color w:val="auto"/>
          <w:sz w:val="21"/>
          <w:szCs w:val="21"/>
          <w:highlight w:val="none"/>
          <w:u w:val="single"/>
          <w:lang w:val="en-US" w:eastAsia="zh-CN"/>
        </w:rPr>
        <w:t>1</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家。</w:t>
      </w:r>
    </w:p>
    <w:p w14:paraId="611CC9F2">
      <w:pPr>
        <w:widowControl/>
        <w:topLinePunct/>
        <w:autoSpaceDE w:val="0"/>
        <w:autoSpaceDN w:val="0"/>
        <w:adjustRightInd w:val="0"/>
        <w:snapToGrid w:val="0"/>
        <w:spacing w:after="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中标候选人并列的，</w:t>
      </w:r>
      <w:r>
        <w:rPr>
          <w:rFonts w:hint="eastAsia" w:ascii="宋体" w:hAnsi="宋体"/>
          <w:color w:val="auto"/>
          <w:sz w:val="21"/>
          <w:szCs w:val="21"/>
          <w:highlight w:val="none"/>
        </w:rPr>
        <w:t>按照</w:t>
      </w:r>
      <w:r>
        <w:rPr>
          <w:rFonts w:hint="eastAsia" w:ascii="宋体" w:hAnsi="宋体"/>
          <w:color w:val="auto"/>
          <w:sz w:val="21"/>
          <w:szCs w:val="21"/>
          <w:highlight w:val="none"/>
          <w:u w:val="single"/>
        </w:rPr>
        <w:t xml:space="preserve"> </w:t>
      </w:r>
      <w:r>
        <w:rPr>
          <w:rFonts w:hint="eastAsia" w:ascii="Times New Roman" w:hAnsi="Times New Roman" w:eastAsia="宋体" w:cs="Times New Roman"/>
          <w:color w:val="auto"/>
          <w:sz w:val="21"/>
          <w:szCs w:val="21"/>
          <w:highlight w:val="none"/>
          <w:u w:val="single"/>
          <w:lang w:val="en-US" w:eastAsia="zh-CN"/>
        </w:rPr>
        <w:t>投标报价由低到高</w:t>
      </w:r>
      <w:r>
        <w:rPr>
          <w:rFonts w:hint="eastAsia" w:ascii="Times New Roman" w:hAnsi="Times New Roman" w:eastAsia="宋体" w:cs="Times New Roman"/>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的方式确定中标人。招标文件未规定的，采取</w:t>
      </w:r>
      <w:r>
        <w:rPr>
          <w:rFonts w:ascii="宋体" w:hAnsi="宋体" w:cs="宋体"/>
          <w:color w:val="auto"/>
          <w:sz w:val="21"/>
          <w:szCs w:val="21"/>
          <w:highlight w:val="none"/>
        </w:rPr>
        <w:t>随机</w:t>
      </w:r>
      <w:r>
        <w:rPr>
          <w:rFonts w:ascii="宋体" w:hAnsi="宋体"/>
          <w:color w:val="auto"/>
          <w:sz w:val="21"/>
          <w:szCs w:val="21"/>
          <w:highlight w:val="none"/>
        </w:rPr>
        <w:t>抽取的方式确定。</w:t>
      </w:r>
    </w:p>
    <w:p w14:paraId="0C13CC9A">
      <w:pPr>
        <w:rPr>
          <w:color w:val="auto"/>
          <w:sz w:val="21"/>
          <w:szCs w:val="21"/>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4642E3BA">
      <w:pPr>
        <w:bidi w:val="0"/>
        <w:jc w:val="center"/>
        <w:rPr>
          <w:rFonts w:hint="eastAsia" w:ascii="华文中宋" w:hAnsi="华文中宋" w:eastAsia="华文中宋" w:cs="华文中宋"/>
          <w:color w:val="auto"/>
          <w:sz w:val="28"/>
          <w:szCs w:val="28"/>
          <w:highlight w:val="none"/>
        </w:rPr>
      </w:pPr>
      <w:bookmarkStart w:id="25" w:name="_Toc132880283"/>
      <w:bookmarkStart w:id="26" w:name="_Toc353483817"/>
      <w:bookmarkStart w:id="27" w:name="_Toc525052847"/>
      <w:bookmarkStart w:id="28" w:name="_Toc38030150"/>
      <w:bookmarkStart w:id="29" w:name="_Toc1914430521"/>
      <w:bookmarkStart w:id="30" w:name="_Toc614538032"/>
      <w:bookmarkStart w:id="31" w:name="_Toc1505390621"/>
      <w:bookmarkStart w:id="32" w:name="_Toc1484421284"/>
      <w:bookmarkStart w:id="33" w:name="_Toc1406510925"/>
      <w:r>
        <w:rPr>
          <w:rFonts w:hint="eastAsia" w:ascii="华文中宋" w:hAnsi="华文中宋" w:eastAsia="华文中宋" w:cs="华文中宋"/>
          <w:color w:val="auto"/>
          <w:sz w:val="28"/>
          <w:szCs w:val="28"/>
          <w:highlight w:val="none"/>
        </w:rPr>
        <w:t>第四章  政府采购合同文本</w:t>
      </w:r>
      <w:bookmarkEnd w:id="25"/>
      <w:bookmarkEnd w:id="26"/>
      <w:bookmarkEnd w:id="27"/>
      <w:bookmarkEnd w:id="28"/>
      <w:bookmarkEnd w:id="29"/>
      <w:bookmarkEnd w:id="30"/>
      <w:bookmarkEnd w:id="31"/>
      <w:bookmarkEnd w:id="32"/>
      <w:bookmarkEnd w:id="33"/>
    </w:p>
    <w:p w14:paraId="098C3359">
      <w:pPr>
        <w:pStyle w:val="10"/>
        <w:jc w:val="center"/>
        <w:rPr>
          <w:rFonts w:hint="eastAsia" w:hAnsi="宋体" w:cs="宋体"/>
          <w:b/>
          <w:color w:val="auto"/>
          <w:sz w:val="96"/>
          <w:szCs w:val="96"/>
          <w:highlight w:val="none"/>
        </w:rPr>
      </w:pPr>
    </w:p>
    <w:p w14:paraId="5B8C5D38">
      <w:pPr>
        <w:pStyle w:val="10"/>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华文中宋" w:hAnsi="华文中宋" w:eastAsia="华文中宋" w:cs="华文中宋"/>
          <w:b w:val="0"/>
          <w:bCs/>
          <w:color w:val="auto"/>
          <w:sz w:val="32"/>
          <w:szCs w:val="32"/>
          <w:highlight w:val="none"/>
        </w:rPr>
      </w:pPr>
      <w:r>
        <w:rPr>
          <w:rFonts w:hint="eastAsia" w:ascii="华文中宋" w:hAnsi="华文中宋" w:eastAsia="华文中宋" w:cs="华文中宋"/>
          <w:b w:val="0"/>
          <w:bCs/>
          <w:color w:val="auto"/>
          <w:sz w:val="32"/>
          <w:szCs w:val="32"/>
          <w:highlight w:val="none"/>
        </w:rPr>
        <w:t>合 同 书</w:t>
      </w:r>
    </w:p>
    <w:p w14:paraId="74EDDE8B">
      <w:pPr>
        <w:pStyle w:val="10"/>
        <w:jc w:val="center"/>
        <w:rPr>
          <w:rFonts w:hint="eastAsia" w:ascii="华文中宋" w:hAnsi="华文中宋" w:eastAsia="华文中宋" w:cs="华文中宋"/>
          <w:b w:val="0"/>
          <w:bCs/>
          <w:color w:val="auto"/>
          <w:sz w:val="32"/>
          <w:szCs w:val="32"/>
          <w:highlight w:val="none"/>
        </w:rPr>
      </w:pPr>
    </w:p>
    <w:p w14:paraId="4470C1AB">
      <w:pPr>
        <w:tabs>
          <w:tab w:val="left" w:pos="540"/>
          <w:tab w:val="left" w:pos="1080"/>
          <w:tab w:val="left" w:pos="1440"/>
        </w:tabs>
        <w:snapToGrid w:val="0"/>
        <w:jc w:val="center"/>
        <w:rPr>
          <w:rFonts w:hint="eastAsia" w:ascii="宋体" w:hAnsi="宋体" w:cs="宋体"/>
          <w:color w:val="auto"/>
          <w:sz w:val="32"/>
          <w:szCs w:val="32"/>
          <w:highlight w:val="none"/>
        </w:rPr>
      </w:pPr>
    </w:p>
    <w:p w14:paraId="23E2B4A5">
      <w:pPr>
        <w:tabs>
          <w:tab w:val="left" w:pos="540"/>
          <w:tab w:val="left" w:pos="1080"/>
          <w:tab w:val="left" w:pos="1440"/>
        </w:tabs>
        <w:snapToGrid w:val="0"/>
        <w:jc w:val="center"/>
        <w:rPr>
          <w:rFonts w:hint="eastAsia" w:ascii="宋体" w:hAnsi="宋体" w:cs="宋体"/>
          <w:color w:val="auto"/>
          <w:sz w:val="32"/>
          <w:szCs w:val="32"/>
          <w:highlight w:val="none"/>
        </w:rPr>
      </w:pPr>
    </w:p>
    <w:p w14:paraId="6847F8A0">
      <w:pPr>
        <w:tabs>
          <w:tab w:val="left" w:pos="540"/>
          <w:tab w:val="left" w:pos="1080"/>
          <w:tab w:val="left" w:pos="1440"/>
        </w:tabs>
        <w:snapToGrid w:val="0"/>
        <w:jc w:val="center"/>
        <w:rPr>
          <w:rFonts w:hint="eastAsia" w:ascii="宋体" w:hAnsi="宋体" w:cs="宋体"/>
          <w:color w:val="auto"/>
          <w:sz w:val="32"/>
          <w:szCs w:val="32"/>
          <w:highlight w:val="none"/>
        </w:rPr>
      </w:pPr>
    </w:p>
    <w:p w14:paraId="7E7D9AC4">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rPr>
          <w:rFonts w:hint="eastAsia" w:ascii="宋体" w:hAnsi="宋体" w:cs="宋体"/>
          <w:color w:val="auto"/>
          <w:sz w:val="32"/>
          <w:szCs w:val="32"/>
          <w:highlight w:val="none"/>
        </w:rPr>
      </w:pPr>
    </w:p>
    <w:p w14:paraId="59843ABB">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default" w:ascii="方正小标宋简体" w:hAnsi="方正小标宋简体" w:eastAsia="方正小标宋简体" w:cs="方正小标宋简体"/>
          <w:b w:val="0"/>
          <w:bCs/>
          <w:color w:val="auto"/>
          <w:sz w:val="24"/>
          <w:szCs w:val="24"/>
          <w:highlight w:val="none"/>
          <w:lang w:val="en-US" w:eastAsia="zh-CN"/>
        </w:rPr>
      </w:pPr>
      <w:r>
        <w:rPr>
          <w:rFonts w:hint="eastAsia" w:ascii="方正小标宋简体" w:hAnsi="方正小标宋简体" w:eastAsia="方正小标宋简体" w:cs="方正小标宋简体"/>
          <w:b w:val="0"/>
          <w:bCs/>
          <w:color w:val="auto"/>
          <w:sz w:val="24"/>
          <w:szCs w:val="24"/>
          <w:highlight w:val="none"/>
        </w:rPr>
        <w:t>项目名称：</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p>
    <w:p w14:paraId="5AA9A98C">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default" w:ascii="方正小标宋简体" w:hAnsi="方正小标宋简体" w:eastAsia="方正小标宋简体" w:cs="方正小标宋简体"/>
          <w:b w:val="0"/>
          <w:bCs/>
          <w:color w:val="auto"/>
          <w:sz w:val="24"/>
          <w:szCs w:val="24"/>
          <w:highlight w:val="none"/>
          <w:lang w:val="en-US" w:eastAsia="zh-CN"/>
        </w:rPr>
      </w:pPr>
      <w:r>
        <w:rPr>
          <w:rFonts w:hint="eastAsia" w:ascii="方正小标宋简体" w:hAnsi="方正小标宋简体" w:eastAsia="方正小标宋简体" w:cs="方正小标宋简体"/>
          <w:b w:val="0"/>
          <w:bCs/>
          <w:color w:val="auto"/>
          <w:sz w:val="24"/>
          <w:szCs w:val="24"/>
          <w:highlight w:val="none"/>
          <w:lang w:eastAsia="zh-CN"/>
        </w:rPr>
        <w:t>包</w:t>
      </w:r>
      <w:r>
        <w:rPr>
          <w:rFonts w:hint="eastAsia" w:ascii="方正小标宋简体" w:hAnsi="方正小标宋简体" w:eastAsia="方正小标宋简体" w:cs="方正小标宋简体"/>
          <w:b w:val="0"/>
          <w:bCs/>
          <w:color w:val="auto"/>
          <w:sz w:val="24"/>
          <w:szCs w:val="24"/>
          <w:highlight w:val="none"/>
          <w:lang w:val="en-US" w:eastAsia="zh-CN"/>
        </w:rPr>
        <w:t xml:space="preserve">    </w:t>
      </w:r>
      <w:r>
        <w:rPr>
          <w:rFonts w:hint="eastAsia" w:ascii="方正小标宋简体" w:hAnsi="方正小标宋简体" w:eastAsia="方正小标宋简体" w:cs="方正小标宋简体"/>
          <w:b w:val="0"/>
          <w:bCs/>
          <w:color w:val="auto"/>
          <w:sz w:val="24"/>
          <w:szCs w:val="24"/>
          <w:highlight w:val="none"/>
          <w:lang w:eastAsia="zh-CN"/>
        </w:rPr>
        <w:t>号：</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p>
    <w:p w14:paraId="79315393">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default" w:ascii="方正小标宋简体" w:hAnsi="方正小标宋简体" w:eastAsia="方正小标宋简体" w:cs="方正小标宋简体"/>
          <w:b w:val="0"/>
          <w:bCs/>
          <w:color w:val="auto"/>
          <w:sz w:val="24"/>
          <w:szCs w:val="24"/>
          <w:highlight w:val="none"/>
          <w:lang w:val="en-US" w:eastAsia="zh-CN"/>
        </w:rPr>
      </w:pPr>
      <w:r>
        <w:rPr>
          <w:rFonts w:hint="eastAsia" w:ascii="方正小标宋简体" w:hAnsi="方正小标宋简体" w:eastAsia="方正小标宋简体" w:cs="方正小标宋简体"/>
          <w:b w:val="0"/>
          <w:bCs/>
          <w:color w:val="auto"/>
          <w:sz w:val="24"/>
          <w:szCs w:val="24"/>
          <w:highlight w:val="none"/>
        </w:rPr>
        <w:t>合同编号：</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r>
        <w:rPr>
          <w:rFonts w:hint="eastAsia" w:ascii="方正小标宋简体" w:hAnsi="方正小标宋简体" w:eastAsia="方正小标宋简体" w:cs="方正小标宋简体"/>
          <w:b w:val="0"/>
          <w:bCs/>
          <w:color w:val="auto"/>
          <w:sz w:val="24"/>
          <w:szCs w:val="24"/>
          <w:highlight w:val="none"/>
          <w:lang w:val="en-US" w:eastAsia="zh-CN"/>
        </w:rPr>
        <w:t xml:space="preserve"> </w:t>
      </w:r>
    </w:p>
    <w:p w14:paraId="023B7310">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方正小标宋简体" w:hAnsi="方正小标宋简体" w:eastAsia="方正小标宋简体" w:cs="方正小标宋简体"/>
          <w:b w:val="0"/>
          <w:bCs/>
          <w:color w:val="auto"/>
          <w:sz w:val="24"/>
          <w:szCs w:val="24"/>
          <w:highlight w:val="none"/>
        </w:rPr>
      </w:pPr>
    </w:p>
    <w:p w14:paraId="565AF48A">
      <w:pPr>
        <w:pStyle w:val="10"/>
        <w:spacing w:line="460" w:lineRule="exact"/>
        <w:jc w:val="center"/>
        <w:rPr>
          <w:rFonts w:hint="eastAsia" w:ascii="方正小标宋简体" w:hAnsi="方正小标宋简体" w:eastAsia="方正小标宋简体" w:cs="方正小标宋简体"/>
          <w:b w:val="0"/>
          <w:bCs/>
          <w:color w:val="auto"/>
          <w:sz w:val="24"/>
          <w:szCs w:val="24"/>
          <w:highlight w:val="none"/>
        </w:rPr>
      </w:pPr>
    </w:p>
    <w:p w14:paraId="51996B35">
      <w:pPr>
        <w:pStyle w:val="10"/>
        <w:tabs>
          <w:tab w:val="left" w:pos="3045"/>
        </w:tabs>
        <w:spacing w:line="460" w:lineRule="exact"/>
        <w:rPr>
          <w:rFonts w:hint="eastAsia" w:ascii="方正小标宋简体" w:hAnsi="方正小标宋简体" w:eastAsia="方正小标宋简体" w:cs="方正小标宋简体"/>
          <w:b w:val="0"/>
          <w:bCs/>
          <w:color w:val="auto"/>
          <w:sz w:val="24"/>
          <w:szCs w:val="24"/>
          <w:highlight w:val="none"/>
        </w:rPr>
      </w:pPr>
      <w:r>
        <w:rPr>
          <w:rFonts w:hint="eastAsia" w:ascii="方正小标宋简体" w:hAnsi="方正小标宋简体" w:eastAsia="方正小标宋简体" w:cs="方正小标宋简体"/>
          <w:b w:val="0"/>
          <w:bCs/>
          <w:color w:val="auto"/>
          <w:sz w:val="24"/>
          <w:szCs w:val="24"/>
          <w:highlight w:val="none"/>
        </w:rPr>
        <w:tab/>
      </w:r>
    </w:p>
    <w:p w14:paraId="0DCC36DC">
      <w:pPr>
        <w:pStyle w:val="10"/>
        <w:spacing w:line="460" w:lineRule="exact"/>
        <w:jc w:val="both"/>
        <w:rPr>
          <w:rFonts w:hint="eastAsia" w:ascii="方正小标宋简体" w:hAnsi="方正小标宋简体" w:eastAsia="方正小标宋简体" w:cs="方正小标宋简体"/>
          <w:b w:val="0"/>
          <w:bCs/>
          <w:color w:val="auto"/>
          <w:sz w:val="24"/>
          <w:szCs w:val="24"/>
          <w:highlight w:val="none"/>
        </w:rPr>
      </w:pPr>
    </w:p>
    <w:p w14:paraId="79DFC21F">
      <w:pPr>
        <w:pStyle w:val="10"/>
        <w:spacing w:line="460" w:lineRule="exact"/>
        <w:jc w:val="center"/>
        <w:rPr>
          <w:rFonts w:hint="eastAsia" w:ascii="方正小标宋简体" w:hAnsi="方正小标宋简体" w:eastAsia="方正小标宋简体" w:cs="方正小标宋简体"/>
          <w:b w:val="0"/>
          <w:bCs/>
          <w:color w:val="auto"/>
          <w:sz w:val="24"/>
          <w:szCs w:val="24"/>
          <w:highlight w:val="none"/>
        </w:rPr>
      </w:pPr>
    </w:p>
    <w:p w14:paraId="0E0FF95F">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方正小标宋简体" w:hAnsi="方正小标宋简体" w:eastAsia="方正小标宋简体" w:cs="方正小标宋简体"/>
          <w:b w:val="0"/>
          <w:bCs/>
          <w:color w:val="auto"/>
          <w:sz w:val="24"/>
          <w:szCs w:val="24"/>
          <w:highlight w:val="none"/>
        </w:rPr>
      </w:pPr>
      <w:r>
        <w:rPr>
          <w:rFonts w:hint="eastAsia" w:ascii="方正小标宋简体" w:hAnsi="方正小标宋简体" w:eastAsia="方正小标宋简体" w:cs="方正小标宋简体"/>
          <w:b w:val="0"/>
          <w:bCs/>
          <w:color w:val="auto"/>
          <w:sz w:val="24"/>
          <w:szCs w:val="24"/>
          <w:highlight w:val="none"/>
        </w:rPr>
        <w:t xml:space="preserve">甲    方： </w:t>
      </w:r>
      <w:r>
        <w:rPr>
          <w:rFonts w:hint="eastAsia" w:ascii="方正小标宋简体" w:hAnsi="方正小标宋简体" w:eastAsia="方正小标宋简体" w:cs="方正小标宋简体"/>
          <w:b w:val="0"/>
          <w:bCs/>
          <w:color w:val="auto"/>
          <w:sz w:val="24"/>
          <w:szCs w:val="24"/>
          <w:highlight w:val="none"/>
          <w:u w:val="single"/>
        </w:rPr>
        <w:t>国家税务总局</w:t>
      </w:r>
      <w:r>
        <w:rPr>
          <w:rFonts w:hint="eastAsia" w:ascii="方正小标宋简体" w:hAnsi="方正小标宋简体" w:eastAsia="方正小标宋简体" w:cs="方正小标宋简体"/>
          <w:b w:val="0"/>
          <w:bCs/>
          <w:color w:val="auto"/>
          <w:sz w:val="24"/>
          <w:szCs w:val="24"/>
          <w:highlight w:val="none"/>
          <w:u w:val="single"/>
          <w:lang w:val="en-US" w:eastAsia="zh-CN"/>
        </w:rPr>
        <w:t>XX税务局</w:t>
      </w:r>
    </w:p>
    <w:p w14:paraId="44CE972E">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方正小标宋简体" w:hAnsi="方正小标宋简体" w:eastAsia="方正小标宋简体" w:cs="方正小标宋简体"/>
          <w:b w:val="0"/>
          <w:bCs/>
          <w:color w:val="auto"/>
          <w:sz w:val="24"/>
          <w:szCs w:val="24"/>
          <w:highlight w:val="none"/>
          <w:u w:val="single"/>
          <w:lang w:val="en-US" w:eastAsia="zh-CN"/>
        </w:rPr>
      </w:pPr>
      <w:r>
        <w:rPr>
          <w:rFonts w:hint="eastAsia" w:ascii="方正小标宋简体" w:hAnsi="方正小标宋简体" w:eastAsia="方正小标宋简体" w:cs="方正小标宋简体"/>
          <w:b w:val="0"/>
          <w:bCs/>
          <w:color w:val="auto"/>
          <w:sz w:val="24"/>
          <w:szCs w:val="24"/>
          <w:highlight w:val="none"/>
        </w:rPr>
        <w:t xml:space="preserve">乙    方： </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p>
    <w:p w14:paraId="43BE0A89">
      <w:pPr>
        <w:keepNext w:val="0"/>
        <w:keepLines w:val="0"/>
        <w:pageBreakBefore w:val="0"/>
        <w:widowControl w:val="0"/>
        <w:kinsoku/>
        <w:wordWrap/>
        <w:overflowPunct/>
        <w:topLinePunct w:val="0"/>
        <w:autoSpaceDE/>
        <w:autoSpaceDN/>
        <w:bidi w:val="0"/>
        <w:adjustRightInd/>
        <w:snapToGrid/>
        <w:spacing w:line="300" w:lineRule="auto"/>
        <w:ind w:left="840" w:leftChars="400" w:firstLine="1298" w:firstLineChars="541"/>
        <w:textAlignment w:val="auto"/>
        <w:rPr>
          <w:rFonts w:hint="eastAsia" w:ascii="方正小标宋简体" w:hAnsi="方正小标宋简体" w:eastAsia="方正小标宋简体" w:cs="方正小标宋简体"/>
          <w:b w:val="0"/>
          <w:bCs/>
          <w:color w:val="auto"/>
          <w:sz w:val="24"/>
          <w:szCs w:val="24"/>
          <w:highlight w:val="none"/>
          <w:u w:val="single"/>
          <w:lang w:eastAsia="zh-CN"/>
        </w:rPr>
      </w:pPr>
      <w:r>
        <w:rPr>
          <w:rFonts w:hint="eastAsia" w:ascii="方正小标宋简体" w:hAnsi="方正小标宋简体" w:eastAsia="方正小标宋简体" w:cs="方正小标宋简体"/>
          <w:b w:val="0"/>
          <w:bCs/>
          <w:color w:val="auto"/>
          <w:sz w:val="24"/>
          <w:szCs w:val="24"/>
          <w:highlight w:val="none"/>
        </w:rPr>
        <w:t xml:space="preserve">日    期： </w:t>
      </w:r>
      <w:r>
        <w:rPr>
          <w:rFonts w:hint="eastAsia" w:ascii="方正小标宋简体" w:hAnsi="方正小标宋简体" w:eastAsia="方正小标宋简体" w:cs="方正小标宋简体"/>
          <w:b w:val="0"/>
          <w:bCs/>
          <w:color w:val="auto"/>
          <w:sz w:val="24"/>
          <w:szCs w:val="24"/>
          <w:highlight w:val="none"/>
          <w:u w:val="single"/>
        </w:rPr>
        <w:t xml:space="preserve">    </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r>
        <w:rPr>
          <w:rFonts w:hint="eastAsia" w:ascii="方正小标宋简体" w:hAnsi="方正小标宋简体" w:eastAsia="方正小标宋简体" w:cs="方正小标宋简体"/>
          <w:b w:val="0"/>
          <w:bCs/>
          <w:color w:val="auto"/>
          <w:sz w:val="24"/>
          <w:szCs w:val="24"/>
          <w:highlight w:val="none"/>
          <w:u w:val="single"/>
        </w:rPr>
        <w:t>年</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r>
        <w:rPr>
          <w:rFonts w:hint="eastAsia" w:ascii="方正小标宋简体" w:hAnsi="方正小标宋简体" w:eastAsia="方正小标宋简体" w:cs="方正小标宋简体"/>
          <w:b w:val="0"/>
          <w:bCs/>
          <w:color w:val="auto"/>
          <w:sz w:val="24"/>
          <w:szCs w:val="24"/>
          <w:highlight w:val="none"/>
          <w:u w:val="single"/>
        </w:rPr>
        <w:t xml:space="preserve">月  </w:t>
      </w:r>
      <w:r>
        <w:rPr>
          <w:rFonts w:hint="eastAsia" w:ascii="方正小标宋简体" w:hAnsi="方正小标宋简体" w:eastAsia="方正小标宋简体" w:cs="方正小标宋简体"/>
          <w:b w:val="0"/>
          <w:bCs/>
          <w:color w:val="auto"/>
          <w:sz w:val="24"/>
          <w:szCs w:val="24"/>
          <w:highlight w:val="none"/>
          <w:u w:val="single"/>
          <w:lang w:val="en-US" w:eastAsia="zh-CN"/>
        </w:rPr>
        <w:t xml:space="preserve"> </w:t>
      </w:r>
      <w:r>
        <w:rPr>
          <w:rFonts w:hint="eastAsia" w:ascii="方正小标宋简体" w:hAnsi="方正小标宋简体" w:eastAsia="方正小标宋简体" w:cs="方正小标宋简体"/>
          <w:b w:val="0"/>
          <w:bCs/>
          <w:color w:val="auto"/>
          <w:sz w:val="24"/>
          <w:szCs w:val="24"/>
          <w:highlight w:val="none"/>
          <w:u w:val="single"/>
          <w:lang w:eastAsia="zh-CN"/>
        </w:rPr>
        <w:t>日</w:t>
      </w:r>
    </w:p>
    <w:p w14:paraId="3F00BD76">
      <w:pPr>
        <w:spacing w:line="300" w:lineRule="auto"/>
        <w:jc w:val="center"/>
        <w:rPr>
          <w:rFonts w:hint="eastAsia" w:ascii="宋体" w:hAnsi="宋体" w:cs="宋体"/>
          <w:b/>
          <w:color w:val="auto"/>
          <w:sz w:val="24"/>
          <w:szCs w:val="24"/>
          <w:highlight w:val="none"/>
        </w:rPr>
      </w:pPr>
      <w:r>
        <w:rPr>
          <w:rFonts w:hint="eastAsia" w:ascii="方正小标宋简体" w:hAnsi="方正小标宋简体" w:eastAsia="方正小标宋简体" w:cs="方正小标宋简体"/>
          <w:b w:val="0"/>
          <w:bCs/>
          <w:color w:val="auto"/>
          <w:sz w:val="24"/>
          <w:szCs w:val="24"/>
          <w:highlight w:val="none"/>
          <w:u w:val="single"/>
        </w:rPr>
        <w:br w:type="page"/>
      </w:r>
      <w:r>
        <w:rPr>
          <w:rFonts w:hint="eastAsia" w:ascii="宋体" w:hAnsi="宋体" w:cs="宋体"/>
          <w:b/>
          <w:color w:val="auto"/>
          <w:sz w:val="24"/>
          <w:szCs w:val="24"/>
          <w:highlight w:val="none"/>
        </w:rPr>
        <w:t>合同条款前附表</w:t>
      </w:r>
    </w:p>
    <w:tbl>
      <w:tblPr>
        <w:tblStyle w:val="15"/>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5779"/>
      </w:tblGrid>
      <w:tr w14:paraId="2B50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4DE8F3FD">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7688" w:type="dxa"/>
            <w:gridSpan w:val="3"/>
            <w:tcBorders>
              <w:top w:val="single" w:color="auto" w:sz="4" w:space="0"/>
              <w:left w:val="single" w:color="auto" w:sz="4" w:space="0"/>
              <w:bottom w:val="single" w:color="auto" w:sz="4" w:space="0"/>
              <w:right w:val="single" w:color="auto" w:sz="4" w:space="0"/>
            </w:tcBorders>
            <w:noWrap w:val="0"/>
            <w:vAlign w:val="center"/>
          </w:tcPr>
          <w:p w14:paraId="4C455407">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        容</w:t>
            </w:r>
          </w:p>
        </w:tc>
      </w:tr>
      <w:tr w14:paraId="770B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1F063915">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0F8CD18">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合同名称</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8DA89DC">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bCs/>
                <w:color w:val="auto"/>
                <w:sz w:val="21"/>
                <w:szCs w:val="21"/>
                <w:highlight w:val="none"/>
              </w:rPr>
            </w:pPr>
          </w:p>
        </w:tc>
      </w:tr>
      <w:tr w14:paraId="4AA0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4014DBD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6135DB9">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合同编号</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38E81EC">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default" w:ascii="Times New Roman" w:hAnsi="Times New Roman" w:cs="Times New Roman"/>
                <w:bCs/>
                <w:color w:val="auto"/>
                <w:sz w:val="21"/>
                <w:szCs w:val="21"/>
                <w:highlight w:val="none"/>
              </w:rPr>
            </w:pPr>
          </w:p>
        </w:tc>
      </w:tr>
      <w:tr w14:paraId="2C92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52181197">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6ABCAE0D">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合同类型</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375D813">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default" w:ascii="Times New Roman" w:hAnsi="Times New Roman" w:eastAsia="宋体" w:cs="Times New Roman"/>
                <w:b/>
                <w:bCs/>
                <w:color w:val="auto"/>
                <w:sz w:val="21"/>
                <w:szCs w:val="21"/>
                <w:highlight w:val="none"/>
                <w:lang w:eastAsia="zh-CN"/>
              </w:rPr>
            </w:pPr>
          </w:p>
        </w:tc>
      </w:tr>
      <w:tr w14:paraId="79CC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2E338074">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7782D3B1">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定价方式</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21673C20">
            <w:pPr>
              <w:keepNext w:val="0"/>
              <w:keepLines w:val="0"/>
              <w:pageBreakBefore w:val="0"/>
              <w:tabs>
                <w:tab w:val="left" w:pos="2160"/>
              </w:tabs>
              <w:kinsoku/>
              <w:wordWrap/>
              <w:overflowPunct/>
              <w:topLinePunct/>
              <w:autoSpaceDE w:val="0"/>
              <w:autoSpaceDN w:val="0"/>
              <w:bidi w:val="0"/>
              <w:adjustRightInd w:val="0"/>
              <w:snapToGrid w:val="0"/>
              <w:spacing w:line="240" w:lineRule="auto"/>
              <w:rPr>
                <w:rFonts w:hint="default" w:ascii="Times New Roman" w:hAnsi="Times New Roman" w:eastAsia="宋体" w:cs="Times New Roman"/>
                <w:b/>
                <w:bCs/>
                <w:color w:val="auto"/>
                <w:sz w:val="21"/>
                <w:szCs w:val="21"/>
                <w:highlight w:val="none"/>
                <w:lang w:eastAsia="zh-CN"/>
              </w:rPr>
            </w:pPr>
          </w:p>
        </w:tc>
      </w:tr>
      <w:tr w14:paraId="5A72C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0"/>
            <w:vAlign w:val="center"/>
          </w:tcPr>
          <w:p w14:paraId="1AD0010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5</w:t>
            </w:r>
          </w:p>
        </w:tc>
        <w:tc>
          <w:tcPr>
            <w:tcW w:w="1909" w:type="dxa"/>
            <w:gridSpan w:val="2"/>
            <w:tcBorders>
              <w:top w:val="single" w:color="auto" w:sz="4" w:space="0"/>
              <w:left w:val="single" w:color="auto" w:sz="4" w:space="0"/>
              <w:bottom w:val="single" w:color="auto" w:sz="6" w:space="0"/>
              <w:right w:val="single" w:color="auto" w:sz="6" w:space="0"/>
            </w:tcBorders>
            <w:noWrap w:val="0"/>
            <w:vAlign w:val="center"/>
          </w:tcPr>
          <w:p w14:paraId="150CB1E1">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甲方名称</w:t>
            </w:r>
          </w:p>
        </w:tc>
        <w:tc>
          <w:tcPr>
            <w:tcW w:w="5779" w:type="dxa"/>
            <w:tcBorders>
              <w:top w:val="single" w:color="auto" w:sz="4" w:space="0"/>
              <w:left w:val="single" w:color="auto" w:sz="6" w:space="0"/>
              <w:bottom w:val="single" w:color="auto" w:sz="6" w:space="0"/>
              <w:right w:val="single" w:color="auto" w:sz="4" w:space="0"/>
            </w:tcBorders>
            <w:noWrap w:val="0"/>
            <w:vAlign w:val="center"/>
          </w:tcPr>
          <w:p w14:paraId="65C2CE5E">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1E7A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6FEC9CC9">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1909" w:type="dxa"/>
            <w:gridSpan w:val="2"/>
            <w:tcBorders>
              <w:top w:val="single" w:color="auto" w:sz="6" w:space="0"/>
              <w:left w:val="single" w:color="auto" w:sz="4" w:space="0"/>
              <w:bottom w:val="single" w:color="auto" w:sz="6" w:space="0"/>
              <w:right w:val="single" w:color="auto" w:sz="6" w:space="0"/>
            </w:tcBorders>
            <w:noWrap w:val="0"/>
            <w:vAlign w:val="center"/>
          </w:tcPr>
          <w:p w14:paraId="452FAF88">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甲方地址</w:t>
            </w:r>
          </w:p>
        </w:tc>
        <w:tc>
          <w:tcPr>
            <w:tcW w:w="5779" w:type="dxa"/>
            <w:tcBorders>
              <w:top w:val="single" w:color="auto" w:sz="6" w:space="0"/>
              <w:left w:val="single" w:color="auto" w:sz="6" w:space="0"/>
              <w:bottom w:val="single" w:color="auto" w:sz="6" w:space="0"/>
              <w:right w:val="single" w:color="auto" w:sz="4" w:space="0"/>
            </w:tcBorders>
            <w:noWrap w:val="0"/>
            <w:vAlign w:val="center"/>
          </w:tcPr>
          <w:p w14:paraId="45F30320">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207D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66C2158C">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409" w:type="dxa"/>
            <w:vMerge w:val="restart"/>
            <w:tcBorders>
              <w:top w:val="single" w:color="auto" w:sz="6" w:space="0"/>
              <w:left w:val="single" w:color="auto" w:sz="4" w:space="0"/>
              <w:right w:val="single" w:color="auto" w:sz="4" w:space="0"/>
            </w:tcBorders>
            <w:noWrap w:val="0"/>
            <w:vAlign w:val="center"/>
          </w:tcPr>
          <w:p w14:paraId="3570132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甲方相关部门</w:t>
            </w:r>
          </w:p>
        </w:tc>
        <w:tc>
          <w:tcPr>
            <w:tcW w:w="1500" w:type="dxa"/>
            <w:tcBorders>
              <w:top w:val="single" w:color="auto" w:sz="6" w:space="0"/>
              <w:left w:val="single" w:color="auto" w:sz="4" w:space="0"/>
              <w:bottom w:val="single" w:color="auto" w:sz="6" w:space="0"/>
              <w:right w:val="single" w:color="auto" w:sz="6" w:space="0"/>
            </w:tcBorders>
            <w:noWrap w:val="0"/>
            <w:vAlign w:val="center"/>
          </w:tcPr>
          <w:p w14:paraId="2B053C74">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甲方采购部门</w:t>
            </w:r>
          </w:p>
        </w:tc>
        <w:tc>
          <w:tcPr>
            <w:tcW w:w="5779" w:type="dxa"/>
            <w:tcBorders>
              <w:top w:val="single" w:color="auto" w:sz="6" w:space="0"/>
              <w:left w:val="single" w:color="auto" w:sz="6" w:space="0"/>
              <w:bottom w:val="single" w:color="auto" w:sz="6" w:space="0"/>
              <w:right w:val="single" w:color="auto" w:sz="4" w:space="0"/>
            </w:tcBorders>
            <w:noWrap w:val="0"/>
            <w:vAlign w:val="center"/>
          </w:tcPr>
          <w:p w14:paraId="4BE69C55">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6EC7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6EA0C08B">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2CE8532F">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1500" w:type="dxa"/>
            <w:tcBorders>
              <w:top w:val="single" w:color="auto" w:sz="6" w:space="0"/>
              <w:left w:val="single" w:color="auto" w:sz="4" w:space="0"/>
              <w:bottom w:val="single" w:color="auto" w:sz="6" w:space="0"/>
              <w:right w:val="single" w:color="auto" w:sz="6" w:space="0"/>
            </w:tcBorders>
            <w:noWrap w:val="0"/>
            <w:vAlign w:val="center"/>
          </w:tcPr>
          <w:p w14:paraId="04FB6378">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联系人</w:t>
            </w:r>
          </w:p>
        </w:tc>
        <w:tc>
          <w:tcPr>
            <w:tcW w:w="5779" w:type="dxa"/>
            <w:tcBorders>
              <w:top w:val="single" w:color="auto" w:sz="6" w:space="0"/>
              <w:left w:val="single" w:color="auto" w:sz="6" w:space="0"/>
              <w:bottom w:val="single" w:color="auto" w:sz="6" w:space="0"/>
              <w:right w:val="single" w:color="auto" w:sz="4" w:space="0"/>
            </w:tcBorders>
            <w:noWrap w:val="0"/>
            <w:vAlign w:val="center"/>
          </w:tcPr>
          <w:p w14:paraId="0DCB7B2D">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2645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249491B3">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417508DD">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7CA0BD63">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5541EE49">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59B6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24F660AE">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33990632">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4EFD6C66">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w:t>
            </w:r>
            <w:r>
              <w:rPr>
                <w:rFonts w:hint="default" w:ascii="Times New Roman" w:hAnsi="Times New Roman" w:cs="Times New Roman"/>
                <w:color w:val="auto"/>
                <w:sz w:val="21"/>
                <w:szCs w:val="21"/>
                <w:highlight w:val="none"/>
                <w:lang w:eastAsia="zh-CN"/>
              </w:rPr>
              <w:t>需求部门</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297057C9">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2D14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47A73617">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6BE5A8B8">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7BB0B751">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联系人</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47E20DAB">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523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0"/>
            <w:vAlign w:val="center"/>
          </w:tcPr>
          <w:p w14:paraId="551ED971">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409" w:type="dxa"/>
            <w:vMerge w:val="continue"/>
            <w:tcBorders>
              <w:left w:val="single" w:color="auto" w:sz="4" w:space="0"/>
              <w:bottom w:val="single" w:color="auto" w:sz="4" w:space="0"/>
              <w:right w:val="single" w:color="auto" w:sz="4" w:space="0"/>
            </w:tcBorders>
            <w:noWrap w:val="0"/>
            <w:vAlign w:val="center"/>
          </w:tcPr>
          <w:p w14:paraId="63990935">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59DB06C5">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w:t>
            </w:r>
          </w:p>
        </w:tc>
        <w:tc>
          <w:tcPr>
            <w:tcW w:w="5779" w:type="dxa"/>
            <w:tcBorders>
              <w:top w:val="single" w:color="auto" w:sz="6" w:space="0"/>
              <w:left w:val="single" w:color="auto" w:sz="6" w:space="0"/>
              <w:bottom w:val="single" w:color="auto" w:sz="4" w:space="0"/>
              <w:right w:val="single" w:color="auto" w:sz="4" w:space="0"/>
            </w:tcBorders>
            <w:noWrap w:val="0"/>
            <w:vAlign w:val="center"/>
          </w:tcPr>
          <w:p w14:paraId="44E7DC78">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3C6E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14:paraId="05324F97">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6</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0144E7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乙方名称</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B15335F">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751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634D0FA9">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E61A476">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乙方企业性质</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450CCB5F">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sym w:font="Wingdings 2" w:char="00A3"/>
            </w:r>
            <w:r>
              <w:rPr>
                <w:rFonts w:hint="default" w:ascii="Times New Roman" w:hAnsi="Times New Roman" w:cs="Times New Roman"/>
                <w:color w:val="auto"/>
                <w:sz w:val="21"/>
                <w:szCs w:val="21"/>
                <w:highlight w:val="none"/>
              </w:rPr>
              <w:t xml:space="preserve"> 中型企业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 小型企业       </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 微型企业    </w:t>
            </w:r>
          </w:p>
          <w:p w14:paraId="0E18E6B4">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 监狱企业</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 残疾人福利性单位    </w:t>
            </w:r>
            <w:r>
              <w:rPr>
                <w:rFonts w:hint="default" w:ascii="Times New Roman" w:hAnsi="Times New Roman" w:cs="Times New Roman"/>
                <w:color w:val="auto"/>
                <w:sz w:val="21"/>
                <w:szCs w:val="21"/>
                <w:highlight w:val="none"/>
              </w:rPr>
              <w:sym w:font="Wingdings 2" w:char="00A3"/>
            </w:r>
            <w:r>
              <w:rPr>
                <w:rFonts w:hint="default" w:ascii="Times New Roman" w:hAnsi="Times New Roman" w:cs="Times New Roman"/>
                <w:color w:val="auto"/>
                <w:sz w:val="21"/>
                <w:szCs w:val="21"/>
                <w:highlight w:val="none"/>
              </w:rPr>
              <w:t xml:space="preserve"> 其他</w:t>
            </w:r>
          </w:p>
        </w:tc>
      </w:tr>
      <w:tr w14:paraId="646F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09FE63EE">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6DF5257">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乙方地址</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4C2D171">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val="en-US" w:eastAsia="zh-CN"/>
              </w:rPr>
            </w:pPr>
          </w:p>
        </w:tc>
      </w:tr>
      <w:tr w14:paraId="13AD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4AB20EE9">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28A73D1">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乙方联系人</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500E22BF">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eastAsia="zh-CN"/>
              </w:rPr>
            </w:pPr>
          </w:p>
        </w:tc>
      </w:tr>
      <w:tr w14:paraId="28ED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50671204">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E5C61DC">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联系电话</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14CBCAD">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val="en-US" w:eastAsia="zh-CN"/>
              </w:rPr>
            </w:pPr>
          </w:p>
        </w:tc>
      </w:tr>
      <w:tr w14:paraId="73F3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1F6FAC7D">
            <w:pPr>
              <w:keepNext w:val="0"/>
              <w:keepLines w:val="0"/>
              <w:pageBreakBefore w:val="0"/>
              <w:widowControl/>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7B1E87AB">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传真</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740598E">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25049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6AC9239C">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7</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A20B06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合同金额</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DE325AA">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t>
            </w:r>
          </w:p>
        </w:tc>
      </w:tr>
      <w:tr w14:paraId="48D7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2A8164CD">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8</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19A6BD7">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服务内容</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4E24D66">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eastAsia="zh-CN"/>
              </w:rPr>
              <w:t>概述服务内容，详见招标文件采购需求。</w:t>
            </w:r>
          </w:p>
          <w:p w14:paraId="20E9C98B">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197E1C50">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75E659D5">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7B84F5AE">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77FF6159">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129CAE92">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2F3BC7B5">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p w14:paraId="084E27C7">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p>
        </w:tc>
      </w:tr>
      <w:tr w14:paraId="1EE8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67960651">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9</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F479B1E">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合同付款</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6FB4948">
            <w:pPr>
              <w:pStyle w:val="21"/>
              <w:keepNext w:val="0"/>
              <w:keepLines w:val="0"/>
              <w:pageBreakBefore w:val="0"/>
              <w:numPr>
                <w:ilvl w:val="0"/>
                <w:numId w:val="0"/>
              </w:numPr>
              <w:tabs>
                <w:tab w:val="left" w:pos="84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合同以人民币结算，付款方式：</w:t>
            </w:r>
          </w:p>
          <w:p w14:paraId="55A68B82">
            <w:pPr>
              <w:pStyle w:val="21"/>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第一次付款：在</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后，甲方支付乙方合同金额</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%的款项，即人民币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元整（¥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t>
            </w:r>
          </w:p>
          <w:p w14:paraId="3AB16B1E">
            <w:pPr>
              <w:pStyle w:val="21"/>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第二次付款：在</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后，甲方支付乙方合同金额</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%的款项，即人民币</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元整（¥</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w:t>
            </w:r>
          </w:p>
          <w:p w14:paraId="1F9C6AAA">
            <w:pPr>
              <w:pStyle w:val="21"/>
              <w:keepNext w:val="0"/>
              <w:keepLines w:val="0"/>
              <w:pageBreakBefore w:val="0"/>
              <w:numPr>
                <w:ilvl w:val="0"/>
                <w:numId w:val="0"/>
              </w:numPr>
              <w:tabs>
                <w:tab w:val="left" w:pos="84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
              </w:rPr>
              <w:t>......</w:t>
            </w:r>
          </w:p>
          <w:p w14:paraId="0AD21E5A">
            <w:pPr>
              <w:pStyle w:val="21"/>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每次办理付款时，乙方应提供发票、付款申请（格式另附）</w:t>
            </w:r>
            <w:r>
              <w:rPr>
                <w:rFonts w:hint="default" w:ascii="Times New Roman" w:hAnsi="Times New Roman" w:cs="Times New Roman"/>
                <w:color w:val="auto"/>
                <w:sz w:val="21"/>
                <w:szCs w:val="21"/>
                <w:highlight w:val="none"/>
                <w:lang w:eastAsia="zh-CN"/>
              </w:rPr>
              <w:t>、合同或</w:t>
            </w:r>
            <w:r>
              <w:rPr>
                <w:rFonts w:hint="default" w:ascii="Times New Roman" w:hAnsi="Times New Roman" w:cs="Times New Roman"/>
                <w:color w:val="auto"/>
                <w:sz w:val="21"/>
                <w:szCs w:val="21"/>
                <w:highlight w:val="none"/>
              </w:rPr>
              <w:t>合同关键页复印件</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合同约定的其他资料。涉及验收的，应同时提交验收意见。</w:t>
            </w:r>
          </w:p>
          <w:p w14:paraId="6857B5BD">
            <w:pPr>
              <w:pStyle w:val="21"/>
              <w:keepNext w:val="0"/>
              <w:keepLines w:val="0"/>
              <w:pageBreakBefore w:val="0"/>
              <w:numPr>
                <w:ilvl w:val="0"/>
                <w:numId w:val="0"/>
              </w:numPr>
              <w:tabs>
                <w:tab w:val="left" w:pos="84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甲方在收到发票等合同约定资料后，进行核实。满足合同约定支付条件的，自收到发票后</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日内将资金支付到乙方账户</w:t>
            </w:r>
            <w:r>
              <w:rPr>
                <w:rFonts w:hint="default" w:ascii="Times New Roman" w:hAnsi="Times New Roman" w:cs="Times New Roman"/>
                <w:color w:val="auto"/>
                <w:sz w:val="21"/>
                <w:szCs w:val="21"/>
                <w:highlight w:val="none"/>
                <w:lang w:eastAsia="zh-CN"/>
              </w:rPr>
              <w:t>，特殊情形付款期限最长不超过</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eastAsia="zh-CN"/>
              </w:rPr>
              <w:t>日。</w:t>
            </w:r>
          </w:p>
        </w:tc>
      </w:tr>
      <w:tr w14:paraId="0AEC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0881695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10</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63AA03A9">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履约保证金及返还</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6697A7D9">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□本</w:t>
            </w:r>
            <w:r>
              <w:rPr>
                <w:rFonts w:hint="default" w:ascii="Times New Roman" w:hAnsi="Times New Roman" w:cs="Times New Roman"/>
                <w:color w:val="auto"/>
                <w:sz w:val="21"/>
                <w:szCs w:val="21"/>
                <w:highlight w:val="none"/>
                <w:lang w:eastAsia="zh-CN"/>
              </w:rPr>
              <w:t>项目不要求提供履约保证金。</w:t>
            </w:r>
          </w:p>
          <w:p w14:paraId="0DD605AA">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□本项目要求提供履约保证金。履约保证金为合同</w:t>
            </w:r>
            <w:r>
              <w:rPr>
                <w:rFonts w:hint="default" w:ascii="Times New Roman" w:hAnsi="Times New Roman" w:cs="Times New Roman"/>
                <w:color w:val="auto"/>
                <w:sz w:val="21"/>
                <w:szCs w:val="21"/>
                <w:highlight w:val="none"/>
                <w:lang w:eastAsia="zh-CN"/>
              </w:rPr>
              <w:t>总</w:t>
            </w:r>
            <w:r>
              <w:rPr>
                <w:rFonts w:hint="default" w:ascii="Times New Roman" w:hAnsi="Times New Roman" w:cs="Times New Roman"/>
                <w:color w:val="auto"/>
                <w:sz w:val="21"/>
                <w:szCs w:val="21"/>
                <w:highlight w:val="none"/>
              </w:rPr>
              <w:t>金额</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%，即人民币</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u w:val="none"/>
                <w:lang w:val="en" w:eastAsia="zh-CN"/>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乙方应在合同签订之日起 30 日内提交甲方。提交方式为银行电汇、金融机构或担保机构出具的保函。在合同履行期满，扣除应扣除的款项（如有）且双方无争议后，无息返还。</w:t>
            </w:r>
          </w:p>
          <w:p w14:paraId="70315273">
            <w:pPr>
              <w:keepNext w:val="0"/>
              <w:keepLines w:val="0"/>
              <w:pageBreakBefore w:val="0"/>
              <w:tabs>
                <w:tab w:val="left" w:pos="70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办理返还履约保证金时，乙方应提供履约保证金返还申请（格式另附）、</w:t>
            </w:r>
            <w:r>
              <w:rPr>
                <w:rFonts w:hint="default" w:ascii="Times New Roman" w:hAnsi="Times New Roman" w:cs="Times New Roman"/>
                <w:color w:val="auto"/>
                <w:sz w:val="21"/>
                <w:szCs w:val="21"/>
                <w:highlight w:val="none"/>
                <w:lang w:eastAsia="zh-CN"/>
              </w:rPr>
              <w:t>合同或</w:t>
            </w:r>
            <w:r>
              <w:rPr>
                <w:rFonts w:hint="default" w:ascii="Times New Roman" w:hAnsi="Times New Roman" w:cs="Times New Roman"/>
                <w:color w:val="auto"/>
                <w:sz w:val="21"/>
                <w:szCs w:val="21"/>
                <w:highlight w:val="none"/>
              </w:rPr>
              <w:t>合同关键页复印件、合同约定的其他资料。涉及验收的，应同时提交甲方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出具的项目终验意见或</w:t>
            </w:r>
            <w:r>
              <w:rPr>
                <w:rFonts w:hint="default" w:ascii="Times New Roman" w:hAnsi="Times New Roman" w:cs="Times New Roman"/>
                <w:color w:val="auto"/>
                <w:sz w:val="21"/>
                <w:szCs w:val="21"/>
                <w:highlight w:val="none"/>
                <w:lang w:eastAsia="zh-CN"/>
              </w:rPr>
              <w:t>质量保证</w:t>
            </w:r>
            <w:r>
              <w:rPr>
                <w:rFonts w:hint="default" w:ascii="Times New Roman" w:hAnsi="Times New Roman" w:cs="Times New Roman"/>
                <w:color w:val="auto"/>
                <w:sz w:val="21"/>
                <w:szCs w:val="21"/>
                <w:highlight w:val="none"/>
              </w:rPr>
              <w:t>期（服务期）满验收意见。</w:t>
            </w:r>
          </w:p>
          <w:p w14:paraId="3E721093">
            <w:pPr>
              <w:keepNext w:val="0"/>
              <w:keepLines w:val="0"/>
              <w:pageBreakBefore w:val="0"/>
              <w:tabs>
                <w:tab w:val="left" w:pos="700"/>
              </w:tabs>
              <w:kinsoku/>
              <w:wordWrap/>
              <w:overflowPunct/>
              <w:bidi w:val="0"/>
              <w:adjustRightInd w:val="0"/>
              <w:snapToGrid w:val="0"/>
              <w:spacing w:line="24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满足履约保证金返还条件的，甲方在收到返还相关信息等合同约定资料后，进行核实。对核实结果无异议的，自完成核实之日起30日内，以</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方式返还履约保证金</w:t>
            </w:r>
            <w:r>
              <w:rPr>
                <w:rFonts w:hint="default" w:ascii="Times New Roman" w:hAnsi="Times New Roman" w:cs="Times New Roman"/>
                <w:color w:val="auto"/>
                <w:sz w:val="21"/>
                <w:szCs w:val="21"/>
                <w:highlight w:val="none"/>
                <w:lang w:eastAsia="zh-CN"/>
              </w:rPr>
              <w:t>或退回保函</w:t>
            </w:r>
            <w:r>
              <w:rPr>
                <w:rFonts w:hint="default" w:ascii="Times New Roman" w:hAnsi="Times New Roman" w:cs="Times New Roman"/>
                <w:color w:val="auto"/>
                <w:sz w:val="21"/>
                <w:szCs w:val="21"/>
                <w:highlight w:val="none"/>
              </w:rPr>
              <w:t>。</w:t>
            </w:r>
          </w:p>
        </w:tc>
      </w:tr>
      <w:tr w14:paraId="7C6A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2B487DA6">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34C8E237">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合同履行期限</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3E759E09">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自合同签订之日起至合同全部权利义务履行完毕之日止</w:t>
            </w:r>
          </w:p>
        </w:tc>
      </w:tr>
      <w:tr w14:paraId="24C03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033D5098">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3C8B744">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val="en" w:eastAsia="zh-CN"/>
              </w:rPr>
            </w:pPr>
            <w:r>
              <w:rPr>
                <w:rFonts w:hint="default" w:ascii="Times New Roman" w:hAnsi="Times New Roman" w:cs="Times New Roman"/>
                <w:color w:val="auto"/>
                <w:sz w:val="21"/>
                <w:szCs w:val="21"/>
                <w:highlight w:val="none"/>
                <w:lang w:eastAsia="zh-CN"/>
              </w:rPr>
              <w:t>服务期</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708952F0">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月</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eastAsia="zh-CN"/>
              </w:rPr>
              <w:t>日至</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月</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eastAsia="zh-CN"/>
              </w:rPr>
              <w:t>日</w:t>
            </w:r>
          </w:p>
        </w:tc>
      </w:tr>
      <w:tr w14:paraId="5457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2D996A8A">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0478813">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合同履约地点</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0C076C44">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合同约定地点或甲方指定地点</w:t>
            </w:r>
          </w:p>
        </w:tc>
      </w:tr>
      <w:tr w14:paraId="65F8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59B03FE0">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F400E20">
            <w:pPr>
              <w:keepNext w:val="0"/>
              <w:keepLines w:val="0"/>
              <w:pageBreakBefore w:val="0"/>
              <w:tabs>
                <w:tab w:val="left" w:pos="700"/>
              </w:tabs>
              <w:kinsoku/>
              <w:wordWrap/>
              <w:overflowPunct/>
              <w:bidi w:val="0"/>
              <w:adjustRightInd w:val="0"/>
              <w:snapToGrid w:val="0"/>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合同纠纷解决方式</w:t>
            </w:r>
          </w:p>
        </w:tc>
        <w:tc>
          <w:tcPr>
            <w:tcW w:w="5779" w:type="dxa"/>
            <w:tcBorders>
              <w:top w:val="single" w:color="auto" w:sz="4" w:space="0"/>
              <w:left w:val="single" w:color="auto" w:sz="4" w:space="0"/>
              <w:bottom w:val="single" w:color="auto" w:sz="4" w:space="0"/>
              <w:right w:val="single" w:color="auto" w:sz="4" w:space="0"/>
            </w:tcBorders>
            <w:noWrap w:val="0"/>
            <w:vAlign w:val="center"/>
          </w:tcPr>
          <w:p w14:paraId="19DBFF13">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甲乙双方应首先通过友好协商解决在执行本合同中所发生的或与本合同有关的一切争端。如从协商开始</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eastAsia="zh-CN"/>
              </w:rPr>
              <w:t>天内仍不能解决，可以选择以下途径之一解决纠纷：</w:t>
            </w:r>
          </w:p>
          <w:p w14:paraId="2B8F05EA">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□向甲方所在地仲裁委员会或</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eastAsia="zh-CN"/>
              </w:rPr>
              <w:t>仲裁委员会申请仲裁</w:t>
            </w:r>
          </w:p>
          <w:p w14:paraId="10E4A1BD">
            <w:pPr>
              <w:keepNext w:val="0"/>
              <w:keepLines w:val="0"/>
              <w:pageBreakBefore w:val="0"/>
              <w:tabs>
                <w:tab w:val="left" w:pos="700"/>
              </w:tabs>
              <w:kinsoku/>
              <w:wordWrap/>
              <w:overflowPunct/>
              <w:bidi w:val="0"/>
              <w:adjustRightInd w:val="0"/>
              <w:snapToGrid w:val="0"/>
              <w:spacing w:line="240" w:lineRule="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□向甲方所在地人民法院或</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eastAsia="zh-CN"/>
              </w:rPr>
              <w:t>人民法院提起诉讼</w:t>
            </w:r>
          </w:p>
        </w:tc>
      </w:tr>
    </w:tbl>
    <w:p w14:paraId="4B77045D">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14:paraId="39BD69E8">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hint="eastAsia" w:ascii="宋体" w:hAnsi="宋体" w:cs="宋体"/>
          <w:b/>
          <w:color w:val="auto"/>
          <w:sz w:val="24"/>
          <w:highlight w:val="none"/>
        </w:rPr>
        <w:t xml:space="preserve">一   合  同 </w:t>
      </w:r>
    </w:p>
    <w:p w14:paraId="6BDBE73B">
      <w:pPr>
        <w:tabs>
          <w:tab w:val="left" w:pos="540"/>
        </w:tabs>
        <w:topLinePunct/>
        <w:autoSpaceDE w:val="0"/>
        <w:autoSpaceDN w:val="0"/>
        <w:spacing w:line="460" w:lineRule="exact"/>
        <w:rPr>
          <w:rFonts w:hint="eastAsia" w:ascii="宋体" w:hAnsi="宋体" w:cs="宋体"/>
          <w:b/>
          <w:color w:val="auto"/>
          <w:sz w:val="24"/>
          <w:highlight w:val="none"/>
        </w:rPr>
      </w:pPr>
    </w:p>
    <w:p w14:paraId="2E3A803A">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国家税务总局</w:t>
      </w:r>
      <w:r>
        <w:rPr>
          <w:rFonts w:hint="default" w:ascii="Times New Roman" w:hAnsi="Times New Roman" w:cs="Times New Roman"/>
          <w:color w:val="auto"/>
          <w:sz w:val="21"/>
          <w:szCs w:val="21"/>
          <w:highlight w:val="none"/>
          <w:lang w:val="en-US" w:eastAsia="zh-CN"/>
        </w:rPr>
        <w:t>XX税务局</w:t>
      </w:r>
      <w:r>
        <w:rPr>
          <w:rFonts w:hint="default" w:ascii="Times New Roman" w:hAnsi="Times New Roman" w:cs="Times New Roman"/>
          <w:color w:val="auto"/>
          <w:sz w:val="21"/>
          <w:szCs w:val="21"/>
          <w:highlight w:val="none"/>
        </w:rPr>
        <w:t>（以下简称“甲方”）通过</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式</w:t>
      </w:r>
      <w:r>
        <w:rPr>
          <w:rFonts w:hint="default" w:ascii="Times New Roman" w:hAnsi="Times New Roman" w:cs="Times New Roman"/>
          <w:color w:val="auto"/>
          <w:sz w:val="21"/>
          <w:szCs w:val="21"/>
          <w:highlight w:val="none"/>
        </w:rPr>
        <w:t>采购</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确定_</w:t>
      </w:r>
      <w:r>
        <w:rPr>
          <w:rFonts w:hint="default" w:ascii="Times New Roman" w:hAnsi="Times New Roman" w:cs="Times New Roman"/>
          <w:color w:val="auto"/>
          <w:sz w:val="21"/>
          <w:szCs w:val="21"/>
          <w:highlight w:val="none"/>
          <w:lang w:val="en-US" w:eastAsia="zh-CN"/>
        </w:rPr>
        <w:t xml:space="preserve"> </w:t>
      </w:r>
      <w:r>
        <w:rPr>
          <w:rFonts w:hint="default" w:ascii="Times New Roman" w:hAnsi="Times New Roman" w:cs="Times New Roman"/>
          <w:color w:val="auto"/>
          <w:sz w:val="21"/>
          <w:szCs w:val="21"/>
          <w:highlight w:val="none"/>
        </w:rPr>
        <w:t>_____公司（以下简称“乙方”）为《</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项目》</w:t>
      </w:r>
      <w:r>
        <w:rPr>
          <w:rFonts w:hint="default" w:ascii="Times New Roman" w:hAnsi="Times New Roman" w:cs="Times New Roman"/>
          <w:color w:val="auto"/>
          <w:sz w:val="21"/>
          <w:szCs w:val="21"/>
          <w:highlight w:val="none"/>
          <w:lang w:eastAsia="zh-CN"/>
        </w:rPr>
        <w:t>中标（成交）供应商</w:t>
      </w:r>
      <w:r>
        <w:rPr>
          <w:rFonts w:hint="default" w:ascii="Times New Roman" w:hAnsi="Times New Roman" w:cs="Times New Roman"/>
          <w:color w:val="auto"/>
          <w:sz w:val="21"/>
          <w:szCs w:val="21"/>
          <w:highlight w:val="none"/>
        </w:rPr>
        <w:t>。甲乙双方同意按照该项目</w:t>
      </w:r>
      <w:r>
        <w:rPr>
          <w:rFonts w:hint="default" w:ascii="Times New Roman" w:hAnsi="Times New Roman" w:cs="Times New Roman"/>
          <w:color w:val="auto"/>
          <w:sz w:val="21"/>
          <w:szCs w:val="21"/>
          <w:highlight w:val="none"/>
          <w:lang w:eastAsia="zh-CN"/>
        </w:rPr>
        <w:t>招标（采购）文件</w:t>
      </w:r>
      <w:r>
        <w:rPr>
          <w:rFonts w:hint="default" w:ascii="Times New Roman" w:hAnsi="Times New Roman" w:cs="Times New Roman"/>
          <w:color w:val="auto"/>
          <w:sz w:val="21"/>
          <w:szCs w:val="21"/>
          <w:highlight w:val="none"/>
        </w:rPr>
        <w:t>约定的内容，签署《</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合同书》（合同编号：</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，以下简称“合同”)。</w:t>
      </w:r>
    </w:p>
    <w:p w14:paraId="478D2F35">
      <w:pPr>
        <w:keepNext w:val="0"/>
        <w:keepLines w:val="0"/>
        <w:pageBreakBefore w:val="0"/>
        <w:widowControl w:val="0"/>
        <w:kinsoku/>
        <w:wordWrap/>
        <w:overflowPunct/>
        <w:topLinePunct/>
        <w:autoSpaceDE w:val="0"/>
        <w:autoSpaceDN w:val="0"/>
        <w:bidi w:val="0"/>
        <w:snapToGrid w:val="0"/>
        <w:spacing w:line="360" w:lineRule="auto"/>
        <w:ind w:left="482"/>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 合同文件</w:t>
      </w:r>
    </w:p>
    <w:p w14:paraId="0506539C">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本合同所附下列文件是构成本合同不可分割的部分：</w:t>
      </w:r>
    </w:p>
    <w:p w14:paraId="5D6D8CD4">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（1）合同通用条款；</w:t>
      </w:r>
    </w:p>
    <w:p w14:paraId="1698B7AB">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（2）报价表（总报价表和分项报价表）；</w:t>
      </w:r>
    </w:p>
    <w:p w14:paraId="72CA9E23">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eastAsia="zh-CN"/>
        </w:rPr>
        <w:t>）招标（采购）文件；</w:t>
      </w:r>
    </w:p>
    <w:p w14:paraId="503CC567">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投标（响应）</w:t>
      </w:r>
      <w:r>
        <w:rPr>
          <w:rFonts w:hint="default" w:ascii="Times New Roman" w:hAnsi="Times New Roman" w:cs="Times New Roman"/>
          <w:color w:val="auto"/>
          <w:sz w:val="21"/>
          <w:szCs w:val="21"/>
          <w:highlight w:val="none"/>
        </w:rPr>
        <w:t>文件。</w:t>
      </w:r>
    </w:p>
    <w:p w14:paraId="65423089">
      <w:pPr>
        <w:keepNext w:val="0"/>
        <w:keepLines w:val="0"/>
        <w:pageBreakBefore w:val="0"/>
        <w:widowControl w:val="0"/>
        <w:kinsoku/>
        <w:wordWrap/>
        <w:overflowPunct/>
        <w:topLinePunct/>
        <w:autoSpaceDE w:val="0"/>
        <w:autoSpaceDN w:val="0"/>
        <w:bidi w:val="0"/>
        <w:snapToGrid w:val="0"/>
        <w:spacing w:line="360" w:lineRule="auto"/>
        <w:ind w:left="482"/>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 合同范围和条件</w:t>
      </w:r>
    </w:p>
    <w:p w14:paraId="5E7A26BA">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本合同的范围和条件应与上述合同文件的规定相一致。</w:t>
      </w:r>
    </w:p>
    <w:p w14:paraId="77599A99">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13" w:firstLineChars="196"/>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3. 合同金额</w:t>
      </w:r>
    </w:p>
    <w:p w14:paraId="15045B8C">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w:t>
      </w:r>
      <w:r>
        <w:rPr>
          <w:rFonts w:hint="default" w:ascii="Times New Roman" w:hAnsi="Times New Roman" w:cs="Times New Roman"/>
          <w:color w:val="auto"/>
          <w:sz w:val="21"/>
          <w:szCs w:val="21"/>
          <w:highlight w:val="none"/>
          <w:lang w:eastAsia="zh-CN"/>
        </w:rPr>
        <w:t>总</w:t>
      </w:r>
      <w:r>
        <w:rPr>
          <w:rFonts w:hint="default" w:ascii="Times New Roman" w:hAnsi="Times New Roman" w:cs="Times New Roman"/>
          <w:color w:val="auto"/>
          <w:sz w:val="21"/>
          <w:szCs w:val="21"/>
          <w:highlight w:val="none"/>
        </w:rPr>
        <w:t>金额为人民币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eastAsia="zh-CN"/>
        </w:rPr>
        <w:t>。本项目以</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val="en-US" w:eastAsia="zh-CN"/>
        </w:rPr>
        <w:t>个月为1个服务周期，每个服务周期合同金额为人民币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t>
      </w:r>
    </w:p>
    <w:p w14:paraId="401D75E2">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360" w:lineRule="auto"/>
        <w:ind w:firstLine="422" w:firstLineChars="200"/>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
        </w:rPr>
        <w:t>4.</w:t>
      </w:r>
      <w:r>
        <w:rPr>
          <w:rFonts w:hint="default" w:ascii="Times New Roman" w:hAnsi="Times New Roman" w:cs="Times New Roman"/>
          <w:b/>
          <w:color w:val="auto"/>
          <w:sz w:val="21"/>
          <w:szCs w:val="21"/>
          <w:highlight w:val="none"/>
        </w:rPr>
        <w:t>付款条件</w:t>
      </w:r>
    </w:p>
    <w:p w14:paraId="03525561">
      <w:pPr>
        <w:keepNext w:val="0"/>
        <w:keepLines w:val="0"/>
        <w:pageBreakBefore w:val="0"/>
        <w:widowControl w:val="0"/>
        <w:tabs>
          <w:tab w:val="left" w:pos="700"/>
        </w:tabs>
        <w:kinsoku/>
        <w:wordWrap/>
        <w:overflowPunct/>
        <w:topLinePunct/>
        <w:autoSpaceDE w:val="0"/>
        <w:autoSpaceDN w:val="0"/>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本项目每</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val="en-US" w:eastAsia="zh-CN"/>
        </w:rPr>
        <w:t>个</w:t>
      </w:r>
      <w:r>
        <w:rPr>
          <w:rFonts w:hint="default" w:ascii="Times New Roman" w:hAnsi="Times New Roman" w:cs="Times New Roman"/>
          <w:color w:val="auto"/>
          <w:sz w:val="21"/>
          <w:szCs w:val="21"/>
          <w:highlight w:val="none"/>
        </w:rPr>
        <w:t>月为 1 个服务周期，共</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个服务周期。每个服务周期，甲方按照采购文件和合同约定对乙方提供的服务进行考核或验收后支付相应款项。</w:t>
      </w:r>
    </w:p>
    <w:p w14:paraId="4C756466">
      <w:pPr>
        <w:pStyle w:val="2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合同以人民币结算，付款方式：</w:t>
      </w:r>
    </w:p>
    <w:p w14:paraId="3DF1FE80">
      <w:pPr>
        <w:pStyle w:val="2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left="19" w:leftChars="9" w:firstLine="401" w:firstLineChars="191"/>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第一次付款：在</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后，甲方支付乙方合同金额</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%的款项，即人民币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w:t>
      </w:r>
    </w:p>
    <w:p w14:paraId="2D61024E">
      <w:pPr>
        <w:pStyle w:val="2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第二次付款：在</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后，甲方支付乙方合同金额</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%的款项，即人民币</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u w:val="none"/>
          <w:lang w:val="en-US" w:eastAsia="zh-CN"/>
        </w:rPr>
        <w:t>元</w:t>
      </w:r>
      <w:r>
        <w:rPr>
          <w:rFonts w:hint="default" w:ascii="Times New Roman" w:hAnsi="Times New Roman" w:cs="Times New Roman"/>
          <w:color w:val="auto"/>
          <w:sz w:val="21"/>
          <w:szCs w:val="21"/>
          <w:highlight w:val="none"/>
        </w:rPr>
        <w:t>整（¥</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w:t>
      </w:r>
    </w:p>
    <w:p w14:paraId="7AF5FE3D">
      <w:pPr>
        <w:pStyle w:val="2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p w14:paraId="79B17E85">
      <w:pPr>
        <w:pStyle w:val="2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每次办理付款时，乙方应提供发票、付款申请（格式另附）、合同或合同关键页复印件、合同约定的其他资料。涉及验收的，应同时提交甲方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出具的验收意见。</w:t>
      </w:r>
    </w:p>
    <w:p w14:paraId="4E7A2A8A">
      <w:pPr>
        <w:pStyle w:val="21"/>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甲方在收到发票等合同约定资料后，进行核实。满足合同约定支付条件的，自收到发票后</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日内将资金支付到乙方账户，特殊情形付款期限最长不超过</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日。</w:t>
      </w:r>
    </w:p>
    <w:p w14:paraId="16073FCC">
      <w:pPr>
        <w:keepNext w:val="0"/>
        <w:keepLines w:val="0"/>
        <w:pageBreakBefore w:val="0"/>
        <w:widowControl w:val="0"/>
        <w:kinsoku/>
        <w:wordWrap/>
        <w:overflowPunct/>
        <w:topLinePunct/>
        <w:autoSpaceDE w:val="0"/>
        <w:autoSpaceDN w:val="0"/>
        <w:bidi w:val="0"/>
        <w:snapToGrid w:val="0"/>
        <w:spacing w:line="360" w:lineRule="auto"/>
        <w:ind w:left="482"/>
        <w:rPr>
          <w:rFonts w:hint="default" w:ascii="Times New Roman" w:hAnsi="Times New Roman" w:eastAsia="宋体" w:cs="Times New Roman"/>
          <w:b/>
          <w:color w:val="auto"/>
          <w:sz w:val="21"/>
          <w:szCs w:val="21"/>
          <w:highlight w:val="none"/>
          <w:lang w:eastAsia="zh-CN"/>
        </w:rPr>
      </w:pPr>
      <w:r>
        <w:rPr>
          <w:rFonts w:hint="default" w:ascii="Times New Roman" w:hAnsi="Times New Roman" w:cs="Times New Roman"/>
          <w:b/>
          <w:color w:val="auto"/>
          <w:sz w:val="21"/>
          <w:szCs w:val="21"/>
          <w:highlight w:val="none"/>
        </w:rPr>
        <w:t>5. 合同签订</w:t>
      </w:r>
      <w:r>
        <w:rPr>
          <w:rFonts w:hint="default" w:ascii="Times New Roman" w:hAnsi="Times New Roman" w:cs="Times New Roman"/>
          <w:b/>
          <w:color w:val="auto"/>
          <w:sz w:val="21"/>
          <w:szCs w:val="21"/>
          <w:highlight w:val="none"/>
          <w:lang w:eastAsia="zh-CN"/>
        </w:rPr>
        <w:t>及生效</w:t>
      </w:r>
    </w:p>
    <w:p w14:paraId="228AC0F1">
      <w:pPr>
        <w:pStyle w:val="21"/>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本合同一式</w:t>
      </w:r>
      <w:r>
        <w:rPr>
          <w:rFonts w:hint="default" w:ascii="Times New Roman" w:hAnsi="Times New Roman" w:cs="Times New Roman"/>
          <w:color w:val="auto"/>
          <w:sz w:val="21"/>
          <w:szCs w:val="21"/>
          <w:highlight w:val="none"/>
          <w:u w:val="single"/>
          <w:lang w:val="en"/>
        </w:rPr>
        <w:t xml:space="preserve">   </w:t>
      </w:r>
      <w:r>
        <w:rPr>
          <w:rFonts w:hint="default" w:ascii="Times New Roman" w:hAnsi="Times New Roman" w:cs="Times New Roman"/>
          <w:color w:val="auto"/>
          <w:sz w:val="21"/>
          <w:szCs w:val="21"/>
          <w:highlight w:val="none"/>
        </w:rPr>
        <w:t>份</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由甲乙双方</w:t>
      </w:r>
      <w:r>
        <w:rPr>
          <w:rFonts w:hint="default" w:ascii="Times New Roman" w:hAnsi="Times New Roman" w:cs="Times New Roman"/>
          <w:color w:val="auto"/>
          <w:sz w:val="21"/>
          <w:szCs w:val="21"/>
          <w:highlight w:val="none"/>
          <w:lang w:eastAsia="zh-CN"/>
        </w:rPr>
        <w:t>法定代表人或被</w:t>
      </w:r>
      <w:r>
        <w:rPr>
          <w:rFonts w:hint="default" w:ascii="Times New Roman" w:hAnsi="Times New Roman" w:cs="Times New Roman"/>
          <w:color w:val="auto"/>
          <w:sz w:val="21"/>
          <w:szCs w:val="21"/>
          <w:highlight w:val="none"/>
        </w:rPr>
        <w:t>授权</w:t>
      </w:r>
      <w:r>
        <w:rPr>
          <w:rFonts w:hint="default" w:ascii="Times New Roman" w:hAnsi="Times New Roman" w:cs="Times New Roman"/>
          <w:color w:val="auto"/>
          <w:sz w:val="21"/>
          <w:szCs w:val="21"/>
          <w:highlight w:val="none"/>
          <w:lang w:eastAsia="zh-CN"/>
        </w:rPr>
        <w:t>人</w:t>
      </w:r>
      <w:r>
        <w:rPr>
          <w:rFonts w:hint="default" w:ascii="Times New Roman" w:hAnsi="Times New Roman" w:cs="Times New Roman"/>
          <w:color w:val="auto"/>
          <w:sz w:val="21"/>
          <w:szCs w:val="21"/>
          <w:highlight w:val="none"/>
        </w:rPr>
        <w:t>签字</w:t>
      </w:r>
      <w:r>
        <w:rPr>
          <w:rFonts w:hint="default" w:ascii="Times New Roman" w:hAnsi="Times New Roman" w:cs="Times New Roman"/>
          <w:color w:val="auto"/>
          <w:sz w:val="21"/>
          <w:szCs w:val="21"/>
          <w:highlight w:val="none"/>
          <w:lang w:eastAsia="zh-CN"/>
        </w:rPr>
        <w:t>并</w:t>
      </w:r>
      <w:r>
        <w:rPr>
          <w:rFonts w:hint="default" w:ascii="Times New Roman" w:hAnsi="Times New Roman" w:cs="Times New Roman"/>
          <w:color w:val="auto"/>
          <w:sz w:val="21"/>
          <w:szCs w:val="21"/>
          <w:highlight w:val="none"/>
        </w:rPr>
        <w:t>盖章</w:t>
      </w:r>
      <w:r>
        <w:rPr>
          <w:rFonts w:hint="default" w:ascii="Times New Roman" w:hAnsi="Times New Roman" w:cs="Times New Roman"/>
          <w:color w:val="auto"/>
          <w:sz w:val="21"/>
          <w:szCs w:val="21"/>
          <w:highlight w:val="none"/>
          <w:lang w:eastAsia="zh-CN"/>
        </w:rPr>
        <w:t>后生效。</w:t>
      </w:r>
    </w:p>
    <w:p w14:paraId="6F69E482">
      <w:pPr>
        <w:pStyle w:val="21"/>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乙方由</w:t>
      </w:r>
      <w:r>
        <w:rPr>
          <w:rFonts w:hint="default" w:ascii="Times New Roman" w:hAnsi="Times New Roman" w:cs="Times New Roman"/>
          <w:color w:val="auto"/>
          <w:sz w:val="21"/>
          <w:szCs w:val="21"/>
          <w:highlight w:val="none"/>
          <w:lang w:eastAsia="zh-CN"/>
        </w:rPr>
        <w:t>法定代表人</w:t>
      </w:r>
      <w:r>
        <w:rPr>
          <w:rFonts w:hint="default" w:ascii="Times New Roman" w:hAnsi="Times New Roman" w:cs="Times New Roman"/>
          <w:color w:val="auto"/>
          <w:sz w:val="21"/>
          <w:szCs w:val="21"/>
          <w:highlight w:val="none"/>
        </w:rPr>
        <w:t>签订合同的，应提供</w:t>
      </w:r>
      <w:r>
        <w:rPr>
          <w:rFonts w:hint="default" w:ascii="Times New Roman" w:hAnsi="Times New Roman" w:cs="Times New Roman"/>
          <w:color w:val="auto"/>
          <w:sz w:val="21"/>
          <w:szCs w:val="21"/>
          <w:highlight w:val="none"/>
          <w:lang w:eastAsia="zh-CN"/>
        </w:rPr>
        <w:t>法定代表人</w:t>
      </w:r>
      <w:r>
        <w:rPr>
          <w:rFonts w:hint="default" w:ascii="Times New Roman" w:hAnsi="Times New Roman" w:cs="Times New Roman"/>
          <w:color w:val="auto"/>
          <w:sz w:val="21"/>
          <w:szCs w:val="21"/>
          <w:highlight w:val="none"/>
        </w:rPr>
        <w:t>身份证复印件；乙方由</w:t>
      </w:r>
      <w:r>
        <w:rPr>
          <w:rFonts w:hint="default" w:ascii="Times New Roman" w:hAnsi="Times New Roman" w:cs="Times New Roman"/>
          <w:color w:val="auto"/>
          <w:sz w:val="21"/>
          <w:szCs w:val="21"/>
          <w:highlight w:val="none"/>
          <w:lang w:eastAsia="zh-CN"/>
        </w:rPr>
        <w:t>被</w:t>
      </w:r>
      <w:r>
        <w:rPr>
          <w:rFonts w:hint="default" w:ascii="Times New Roman" w:hAnsi="Times New Roman" w:cs="Times New Roman"/>
          <w:color w:val="auto"/>
          <w:sz w:val="21"/>
          <w:szCs w:val="21"/>
          <w:highlight w:val="none"/>
        </w:rPr>
        <w:t>授权</w:t>
      </w:r>
      <w:r>
        <w:rPr>
          <w:rFonts w:hint="default" w:ascii="Times New Roman" w:hAnsi="Times New Roman" w:cs="Times New Roman"/>
          <w:color w:val="auto"/>
          <w:sz w:val="21"/>
          <w:szCs w:val="21"/>
          <w:highlight w:val="none"/>
          <w:lang w:eastAsia="zh-CN"/>
        </w:rPr>
        <w:t>人</w:t>
      </w:r>
      <w:r>
        <w:rPr>
          <w:rFonts w:hint="default" w:ascii="Times New Roman" w:hAnsi="Times New Roman" w:cs="Times New Roman"/>
          <w:color w:val="auto"/>
          <w:sz w:val="21"/>
          <w:szCs w:val="21"/>
          <w:highlight w:val="none"/>
        </w:rPr>
        <w:t>签订合同的，</w:t>
      </w:r>
      <w:r>
        <w:rPr>
          <w:rFonts w:hint="default" w:ascii="Times New Roman" w:hAnsi="Times New Roman" w:cs="Times New Roman"/>
          <w:color w:val="auto"/>
          <w:sz w:val="21"/>
          <w:szCs w:val="21"/>
          <w:highlight w:val="none"/>
          <w:lang w:eastAsia="zh-CN"/>
        </w:rPr>
        <w:t>应</w:t>
      </w:r>
      <w:r>
        <w:rPr>
          <w:rFonts w:hint="default" w:ascii="Times New Roman" w:hAnsi="Times New Roman" w:cs="Times New Roman"/>
          <w:color w:val="auto"/>
          <w:sz w:val="21"/>
          <w:szCs w:val="21"/>
          <w:highlight w:val="none"/>
        </w:rPr>
        <w:t>提供授权</w:t>
      </w:r>
      <w:r>
        <w:rPr>
          <w:rFonts w:hint="default" w:ascii="Times New Roman" w:hAnsi="Times New Roman" w:cs="Times New Roman"/>
          <w:color w:val="auto"/>
          <w:sz w:val="21"/>
          <w:szCs w:val="21"/>
          <w:highlight w:val="none"/>
          <w:lang w:eastAsia="zh-CN"/>
        </w:rPr>
        <w:t>委托</w:t>
      </w:r>
      <w:r>
        <w:rPr>
          <w:rFonts w:hint="default" w:ascii="Times New Roman" w:hAnsi="Times New Roman" w:cs="Times New Roman"/>
          <w:color w:val="auto"/>
          <w:sz w:val="21"/>
          <w:szCs w:val="21"/>
          <w:highlight w:val="none"/>
        </w:rPr>
        <w:t>书和</w:t>
      </w:r>
      <w:r>
        <w:rPr>
          <w:rFonts w:hint="default" w:ascii="Times New Roman" w:hAnsi="Times New Roman" w:cs="Times New Roman"/>
          <w:color w:val="auto"/>
          <w:sz w:val="21"/>
          <w:szCs w:val="21"/>
          <w:highlight w:val="none"/>
          <w:lang w:eastAsia="zh-CN"/>
        </w:rPr>
        <w:t>法定代表人及被</w:t>
      </w:r>
      <w:r>
        <w:rPr>
          <w:rFonts w:hint="default" w:ascii="Times New Roman" w:hAnsi="Times New Roman" w:cs="Times New Roman"/>
          <w:color w:val="auto"/>
          <w:sz w:val="21"/>
          <w:szCs w:val="21"/>
          <w:highlight w:val="none"/>
        </w:rPr>
        <w:t>授权</w:t>
      </w:r>
      <w:r>
        <w:rPr>
          <w:rFonts w:hint="default" w:ascii="Times New Roman" w:hAnsi="Times New Roman" w:cs="Times New Roman"/>
          <w:color w:val="auto"/>
          <w:sz w:val="21"/>
          <w:szCs w:val="21"/>
          <w:highlight w:val="none"/>
          <w:lang w:eastAsia="zh-CN"/>
        </w:rPr>
        <w:t>人</w:t>
      </w:r>
      <w:r>
        <w:rPr>
          <w:rFonts w:hint="default" w:ascii="Times New Roman" w:hAnsi="Times New Roman" w:cs="Times New Roman"/>
          <w:color w:val="auto"/>
          <w:sz w:val="21"/>
          <w:szCs w:val="21"/>
          <w:highlight w:val="none"/>
        </w:rPr>
        <w:t>身份证复印件。</w:t>
      </w:r>
    </w:p>
    <w:p w14:paraId="64595C84">
      <w:pPr>
        <w:pStyle w:val="21"/>
        <w:keepNext w:val="0"/>
        <w:keepLines w:val="0"/>
        <w:pageBreakBefore w:val="0"/>
        <w:widowControl w:val="0"/>
        <w:numPr>
          <w:ilvl w:val="0"/>
          <w:numId w:val="0"/>
        </w:numPr>
        <w:tabs>
          <w:tab w:val="left" w:pos="840"/>
        </w:tabs>
        <w:kinsoku/>
        <w:wordWrap/>
        <w:overflowPunct/>
        <w:bidi w:val="0"/>
        <w:snapToGrid w:val="0"/>
        <w:spacing w:line="360" w:lineRule="auto"/>
        <w:ind w:firstLine="420" w:firstLineChars="200"/>
        <w:rPr>
          <w:rFonts w:hint="default" w:ascii="Times New Roman" w:hAnsi="Times New Roman" w:cs="Times New Roman"/>
          <w:color w:val="auto"/>
          <w:sz w:val="21"/>
          <w:szCs w:val="21"/>
          <w:highlight w:val="none"/>
        </w:rPr>
      </w:pPr>
    </w:p>
    <w:p w14:paraId="6596962F">
      <w:pPr>
        <w:keepNext w:val="0"/>
        <w:keepLines w:val="0"/>
        <w:pageBreakBefore w:val="0"/>
        <w:widowControl w:val="0"/>
        <w:tabs>
          <w:tab w:val="left" w:pos="700"/>
        </w:tabs>
        <w:kinsoku/>
        <w:wordWrap/>
        <w:overflowPunct/>
        <w:topLinePunct/>
        <w:autoSpaceDE w:val="0"/>
        <w:autoSpaceDN w:val="0"/>
        <w:bidi w:val="0"/>
        <w:spacing w:line="360" w:lineRule="auto"/>
        <w:rPr>
          <w:rFonts w:hint="default" w:ascii="Times New Roman" w:hAnsi="Times New Roman" w:cs="Times New Roman"/>
          <w:color w:val="auto"/>
          <w:sz w:val="21"/>
          <w:szCs w:val="21"/>
          <w:highlight w:val="none"/>
        </w:rPr>
      </w:pPr>
    </w:p>
    <w:p w14:paraId="552AD42B">
      <w:pPr>
        <w:keepNext w:val="0"/>
        <w:keepLines w:val="0"/>
        <w:pageBreakBefore w:val="0"/>
        <w:widowControl w:val="0"/>
        <w:tabs>
          <w:tab w:val="left" w:pos="700"/>
        </w:tabs>
        <w:kinsoku/>
        <w:wordWrap/>
        <w:overflowPunct/>
        <w:topLinePunct/>
        <w:autoSpaceDE w:val="0"/>
        <w:autoSpaceDN w:val="0"/>
        <w:bidi w:val="0"/>
        <w:spacing w:line="360" w:lineRule="auto"/>
        <w:ind w:left="36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甲方：国家税务总局XX税务局             乙方：</w:t>
      </w:r>
    </w:p>
    <w:p w14:paraId="2972946B">
      <w:pPr>
        <w:keepNext w:val="0"/>
        <w:keepLines w:val="0"/>
        <w:pageBreakBefore w:val="0"/>
        <w:widowControl w:val="0"/>
        <w:tabs>
          <w:tab w:val="left" w:pos="700"/>
        </w:tabs>
        <w:kinsoku/>
        <w:wordWrap/>
        <w:overflowPunct/>
        <w:topLinePunct/>
        <w:autoSpaceDE w:val="0"/>
        <w:autoSpaceDN w:val="0"/>
        <w:bidi w:val="0"/>
        <w:spacing w:line="360" w:lineRule="auto"/>
        <w:ind w:left="36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签字：                                 签字：</w:t>
      </w:r>
    </w:p>
    <w:p w14:paraId="179DF346">
      <w:pPr>
        <w:keepNext w:val="0"/>
        <w:keepLines w:val="0"/>
        <w:pageBreakBefore w:val="0"/>
        <w:widowControl w:val="0"/>
        <w:tabs>
          <w:tab w:val="left" w:pos="700"/>
        </w:tabs>
        <w:kinsoku/>
        <w:wordWrap/>
        <w:overflowPunct/>
        <w:topLinePunct/>
        <w:autoSpaceDE w:val="0"/>
        <w:autoSpaceDN w:val="0"/>
        <w:bidi w:val="0"/>
        <w:spacing w:line="360" w:lineRule="auto"/>
        <w:ind w:left="36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盖章：                                 盖章： </w:t>
      </w:r>
    </w:p>
    <w:p w14:paraId="6BE7925E">
      <w:pPr>
        <w:keepNext w:val="0"/>
        <w:keepLines w:val="0"/>
        <w:pageBreakBefore w:val="0"/>
        <w:widowControl w:val="0"/>
        <w:tabs>
          <w:tab w:val="left" w:pos="700"/>
        </w:tabs>
        <w:kinsoku/>
        <w:wordWrap/>
        <w:overflowPunct/>
        <w:topLinePunct/>
        <w:autoSpaceDE w:val="0"/>
        <w:autoSpaceDN w:val="0"/>
        <w:bidi w:val="0"/>
        <w:spacing w:line="360" w:lineRule="auto"/>
        <w:ind w:left="36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日期：    年    月    日               日期：     年   月   日</w:t>
      </w:r>
    </w:p>
    <w:p w14:paraId="54B1744D">
      <w:pPr>
        <w:keepNext w:val="0"/>
        <w:keepLines w:val="0"/>
        <w:pageBreakBefore w:val="0"/>
        <w:widowControl w:val="0"/>
        <w:kinsoku/>
        <w:wordWrap/>
        <w:overflowPunct/>
        <w:topLinePunct/>
        <w:autoSpaceDE w:val="0"/>
        <w:autoSpaceDN w:val="0"/>
        <w:bidi w:val="0"/>
        <w:spacing w:line="360" w:lineRule="auto"/>
        <w:rPr>
          <w:rFonts w:hint="default" w:ascii="Times New Roman" w:hAnsi="Times New Roman" w:cs="Times New Roman"/>
          <w:b/>
          <w:color w:val="auto"/>
          <w:sz w:val="21"/>
          <w:szCs w:val="21"/>
          <w:highlight w:val="none"/>
        </w:rPr>
      </w:pPr>
    </w:p>
    <w:p w14:paraId="1D730D2B">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40A5B742">
      <w:pPr>
        <w:topLinePunct/>
        <w:autoSpaceDE w:val="0"/>
        <w:autoSpaceDN w:val="0"/>
        <w:spacing w:line="460" w:lineRule="exact"/>
        <w:jc w:val="center"/>
        <w:rPr>
          <w:rFonts w:hint="eastAsia" w:ascii="宋体" w:hAnsi="宋体" w:eastAsia="宋体" w:cs="宋体"/>
          <w:b/>
          <w:color w:val="auto"/>
          <w:sz w:val="24"/>
          <w:highlight w:val="none"/>
          <w:lang w:eastAsia="zh-CN"/>
        </w:rPr>
      </w:pPr>
    </w:p>
    <w:p w14:paraId="4CBA1E48">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14:paraId="7D41BEEE">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 定义</w:t>
      </w:r>
    </w:p>
    <w:p w14:paraId="6E31D6D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本合同下列术语应解释为：</w:t>
      </w:r>
    </w:p>
    <w:p w14:paraId="1D6D0687">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1.1“甲方”是指国家税务总局</w:t>
      </w:r>
      <w:r>
        <w:rPr>
          <w:rFonts w:hint="default" w:ascii="Times New Roman" w:hAnsi="Times New Roman" w:cs="Times New Roman"/>
          <w:color w:val="auto"/>
          <w:sz w:val="21"/>
          <w:szCs w:val="21"/>
          <w:highlight w:val="none"/>
          <w:lang w:val="en"/>
        </w:rPr>
        <w:t>XX</w:t>
      </w:r>
      <w:r>
        <w:rPr>
          <w:rFonts w:hint="default" w:ascii="Times New Roman" w:hAnsi="Times New Roman" w:cs="Times New Roman"/>
          <w:color w:val="auto"/>
          <w:sz w:val="21"/>
          <w:szCs w:val="21"/>
          <w:highlight w:val="none"/>
          <w:lang w:val="en" w:eastAsia="zh-CN"/>
        </w:rPr>
        <w:t>税务局</w:t>
      </w:r>
      <w:r>
        <w:rPr>
          <w:rFonts w:hint="default" w:ascii="Times New Roman" w:hAnsi="Times New Roman" w:cs="Times New Roman"/>
          <w:color w:val="auto"/>
          <w:sz w:val="21"/>
          <w:szCs w:val="21"/>
          <w:highlight w:val="none"/>
        </w:rPr>
        <w:t>。</w:t>
      </w:r>
    </w:p>
    <w:p w14:paraId="1C91DA6C">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1.1.1“甲方采购部门”见“合同条款前附表”第</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项“甲方采购部门”。</w:t>
      </w:r>
    </w:p>
    <w:p w14:paraId="3B9338C8">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1.1.2“甲方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”见“合同条款前附表”第</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项“甲方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w:t>
      </w:r>
    </w:p>
    <w:p w14:paraId="556CCA69">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1.2“乙方”见“合同条款前附表”第</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项“乙方名称”。</w:t>
      </w:r>
    </w:p>
    <w:p w14:paraId="165E6973">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 “合同”系指甲乙双方签订的、合同格式中载明的甲乙双方所达成的协议，包括所有的附件、附录和上述文件所提到的构成合同的所有文件。</w:t>
      </w:r>
    </w:p>
    <w:p w14:paraId="42A2CB4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 “天”除非特别指出，“天”均为自然天。</w:t>
      </w:r>
    </w:p>
    <w:p w14:paraId="41CA490B">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2. 标准</w:t>
      </w:r>
    </w:p>
    <w:p w14:paraId="2F65083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 乙方为甲方</w:t>
      </w:r>
      <w:r>
        <w:rPr>
          <w:rFonts w:hint="default" w:ascii="Times New Roman" w:hAnsi="Times New Roman" w:cs="Times New Roman"/>
          <w:color w:val="auto"/>
          <w:sz w:val="21"/>
          <w:szCs w:val="21"/>
          <w:highlight w:val="none"/>
          <w:lang w:eastAsia="zh-CN"/>
        </w:rPr>
        <w:t>交付或</w:t>
      </w:r>
      <w:r>
        <w:rPr>
          <w:rFonts w:hint="default" w:ascii="Times New Roman" w:hAnsi="Times New Roman" w:cs="Times New Roman"/>
          <w:color w:val="auto"/>
          <w:sz w:val="21"/>
          <w:szCs w:val="21"/>
          <w:highlight w:val="none"/>
        </w:rPr>
        <w:t>提供的服务应符合</w:t>
      </w:r>
      <w:r>
        <w:rPr>
          <w:rFonts w:hint="default" w:ascii="Times New Roman" w:hAnsi="Times New Roman" w:cs="Times New Roman"/>
          <w:color w:val="auto"/>
          <w:sz w:val="21"/>
          <w:szCs w:val="21"/>
          <w:highlight w:val="none"/>
          <w:lang w:eastAsia="zh-CN"/>
        </w:rPr>
        <w:t>招标（采购）文件</w:t>
      </w:r>
      <w:r>
        <w:rPr>
          <w:rFonts w:hint="default" w:ascii="Times New Roman" w:hAnsi="Times New Roman" w:cs="Times New Roman"/>
          <w:color w:val="auto"/>
          <w:sz w:val="21"/>
          <w:szCs w:val="21"/>
          <w:highlight w:val="none"/>
        </w:rPr>
        <w:t>所述的</w:t>
      </w:r>
      <w:r>
        <w:rPr>
          <w:rFonts w:hint="default" w:ascii="Times New Roman" w:hAnsi="Times New Roman" w:cs="Times New Roman"/>
          <w:color w:val="auto"/>
          <w:sz w:val="21"/>
          <w:szCs w:val="21"/>
          <w:highlight w:val="none"/>
          <w:lang w:eastAsia="zh-CN"/>
        </w:rPr>
        <w:t>标准</w:t>
      </w:r>
      <w:r>
        <w:rPr>
          <w:rFonts w:hint="default" w:ascii="Times New Roman" w:hAnsi="Times New Roman" w:cs="Times New Roman"/>
          <w:color w:val="auto"/>
          <w:sz w:val="21"/>
          <w:szCs w:val="21"/>
          <w:highlight w:val="none"/>
        </w:rPr>
        <w:t>，如果没有提及适用标准，则应符合相应的国家标准。这些标准必须是有关机构发布的最新版本的标准。</w:t>
      </w:r>
    </w:p>
    <w:p w14:paraId="65A1A680">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2.2 除非技术要求中另有规定，计量单位均采用中华人民共和国法定计量单位。</w:t>
      </w:r>
    </w:p>
    <w:p w14:paraId="3843AB2B">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3. 服务</w:t>
      </w:r>
    </w:p>
    <w:p w14:paraId="468CEF83">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Cs/>
          <w:color w:val="auto"/>
          <w:sz w:val="21"/>
          <w:szCs w:val="21"/>
          <w:highlight w:val="none"/>
        </w:rPr>
        <w:t>3.1 本项目的“服务”见“合同条款前附表”第</w:t>
      </w:r>
      <w:r>
        <w:rPr>
          <w:rFonts w:hint="default" w:ascii="Times New Roman" w:hAnsi="Times New Roman" w:cs="Times New Roman"/>
          <w:bCs/>
          <w:color w:val="auto"/>
          <w:sz w:val="21"/>
          <w:szCs w:val="21"/>
          <w:highlight w:val="none"/>
          <w:lang w:val="en-US" w:eastAsia="zh-CN"/>
        </w:rPr>
        <w:t>8</w:t>
      </w:r>
      <w:r>
        <w:rPr>
          <w:rFonts w:hint="default" w:ascii="Times New Roman" w:hAnsi="Times New Roman" w:cs="Times New Roman"/>
          <w:bCs/>
          <w:color w:val="auto"/>
          <w:sz w:val="21"/>
          <w:szCs w:val="21"/>
          <w:highlight w:val="none"/>
        </w:rPr>
        <w:t>项“服务内容”。</w:t>
      </w:r>
    </w:p>
    <w:p w14:paraId="18CB780C">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3.2 乙方应保证所提供的服务符合合同规定的要求。如不符时，乙方应负全责并尽快处理解决，由此造成的损失和相关费用由乙方负责，甲方保留终止合同及索赔的权利。</w:t>
      </w:r>
    </w:p>
    <w:p w14:paraId="32141B0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 乙方应保证通过执行合同中全部方案后，可以取得本合同</w:t>
      </w:r>
      <w:r>
        <w:rPr>
          <w:rFonts w:hint="default" w:ascii="Times New Roman" w:hAnsi="Times New Roman" w:cs="Times New Roman"/>
          <w:color w:val="auto"/>
          <w:sz w:val="21"/>
          <w:szCs w:val="21"/>
          <w:highlight w:val="none"/>
          <w:lang w:eastAsia="zh-CN"/>
        </w:rPr>
        <w:t>约定</w:t>
      </w:r>
      <w:r>
        <w:rPr>
          <w:rFonts w:hint="default" w:ascii="Times New Roman" w:hAnsi="Times New Roman" w:cs="Times New Roman"/>
          <w:color w:val="auto"/>
          <w:sz w:val="21"/>
          <w:szCs w:val="21"/>
          <w:highlight w:val="none"/>
        </w:rPr>
        <w:t>的结果，达到本合同</w:t>
      </w:r>
      <w:r>
        <w:rPr>
          <w:rFonts w:hint="default" w:ascii="Times New Roman" w:hAnsi="Times New Roman" w:cs="Times New Roman"/>
          <w:color w:val="auto"/>
          <w:sz w:val="21"/>
          <w:szCs w:val="21"/>
          <w:highlight w:val="none"/>
          <w:lang w:eastAsia="zh-CN"/>
        </w:rPr>
        <w:t>约定</w:t>
      </w:r>
      <w:r>
        <w:rPr>
          <w:rFonts w:hint="default" w:ascii="Times New Roman" w:hAnsi="Times New Roman" w:cs="Times New Roman"/>
          <w:color w:val="auto"/>
          <w:sz w:val="21"/>
          <w:szCs w:val="21"/>
          <w:highlight w:val="none"/>
        </w:rPr>
        <w:t>的预期目标。对任何情况下出现的问题，应尽快提出解决方案。</w:t>
      </w:r>
    </w:p>
    <w:p w14:paraId="626CDF05">
      <w:pPr>
        <w:keepNext w:val="0"/>
        <w:keepLines w:val="0"/>
        <w:pageBreakBefore w:val="0"/>
        <w:widowControl w:val="0"/>
        <w:tabs>
          <w:tab w:val="left" w:pos="0"/>
          <w:tab w:val="left" w:pos="54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3.4 如果乙方提供的服务和解决方案不符合甲方要求，或在规定的时间内没有弥补缺陷，甲方有权采取一切必要的补救措施，由此产生的费用全部由乙方负责。</w:t>
      </w:r>
    </w:p>
    <w:p w14:paraId="4CAE7556">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 除合同条款另行规定外，伴随服务的费用应含在合同价中，不单独进行支付。</w:t>
      </w:r>
    </w:p>
    <w:p w14:paraId="41998FAB">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4. 知识产权</w:t>
      </w:r>
    </w:p>
    <w:p w14:paraId="491D1B5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 乙方应保证所提供</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rPr>
        <w:t>服务免受第三方提出侵犯其知识产权（专利权、商标权、</w:t>
      </w:r>
      <w:r>
        <w:rPr>
          <w:rFonts w:hint="default" w:ascii="Times New Roman" w:hAnsi="Times New Roman" w:cs="Times New Roman"/>
          <w:color w:val="auto"/>
          <w:sz w:val="21"/>
          <w:szCs w:val="21"/>
          <w:highlight w:val="none"/>
          <w:lang w:eastAsia="zh-CN"/>
        </w:rPr>
        <w:t>软件著作权、</w:t>
      </w:r>
      <w:r>
        <w:rPr>
          <w:rFonts w:hint="default" w:ascii="Times New Roman" w:hAnsi="Times New Roman" w:cs="Times New Roman"/>
          <w:color w:val="auto"/>
          <w:sz w:val="21"/>
          <w:szCs w:val="21"/>
          <w:highlight w:val="none"/>
        </w:rPr>
        <w:t>版权等）的起诉。</w:t>
      </w:r>
    </w:p>
    <w:p w14:paraId="31526BFA">
      <w:pPr>
        <w:keepNext w:val="0"/>
        <w:keepLines w:val="0"/>
        <w:pageBreakBefore w:val="0"/>
        <w:widowControl w:val="0"/>
        <w:tabs>
          <w:tab w:val="left" w:pos="0"/>
          <w:tab w:val="left" w:pos="540"/>
        </w:tabs>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4.2 甲方对项目实施过程中所产生的所有成果（</w:t>
      </w:r>
      <w:r>
        <w:rPr>
          <w:rFonts w:hint="default" w:ascii="Times New Roman" w:hAnsi="Times New Roman" w:cs="Times New Roman"/>
          <w:color w:val="auto"/>
          <w:sz w:val="21"/>
          <w:szCs w:val="21"/>
          <w:highlight w:val="none"/>
          <w:lang w:eastAsia="zh-CN"/>
        </w:rPr>
        <w:t>包括但不限于发明</w:t>
      </w:r>
      <w:r>
        <w:rPr>
          <w:rFonts w:hint="default" w:ascii="Times New Roman" w:hAnsi="Times New Roman" w:cs="Times New Roman"/>
          <w:color w:val="auto"/>
          <w:sz w:val="21"/>
          <w:szCs w:val="21"/>
          <w:highlight w:val="none"/>
        </w:rPr>
        <w:t>、发现、可运行系统、源代码及相关技术资料、文档等）享有永久使用权、复制权和修改权，其专利申请权、专利权、软件著作权、技术秘密的所有权、使用权、转让权等知识产权归甲方所有。</w:t>
      </w:r>
    </w:p>
    <w:p w14:paraId="6B91A77E">
      <w:pPr>
        <w:keepNext w:val="0"/>
        <w:keepLines w:val="0"/>
        <w:pageBreakBefore w:val="0"/>
        <w:widowControl w:val="0"/>
        <w:tabs>
          <w:tab w:val="left" w:pos="0"/>
          <w:tab w:val="left" w:pos="540"/>
        </w:tabs>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4.3 乙方不得利用本项目实施过程中所产生的成果（</w:t>
      </w:r>
      <w:r>
        <w:rPr>
          <w:rFonts w:hint="default" w:ascii="Times New Roman" w:hAnsi="Times New Roman" w:cs="Times New Roman"/>
          <w:color w:val="auto"/>
          <w:sz w:val="21"/>
          <w:szCs w:val="21"/>
          <w:highlight w:val="none"/>
          <w:lang w:eastAsia="zh-CN"/>
        </w:rPr>
        <w:t>包括但不限于发明</w:t>
      </w:r>
      <w:r>
        <w:rPr>
          <w:rFonts w:hint="default" w:ascii="Times New Roman" w:hAnsi="Times New Roman" w:cs="Times New Roman"/>
          <w:color w:val="auto"/>
          <w:sz w:val="21"/>
          <w:szCs w:val="21"/>
          <w:highlight w:val="none"/>
        </w:rPr>
        <w:t>、发现、可运行系统、源代码及相关技术资料、文档等），另行自行开发本合同业务范围内供纳税人</w:t>
      </w:r>
      <w:r>
        <w:rPr>
          <w:rFonts w:hint="default" w:ascii="Times New Roman" w:hAnsi="Times New Roman" w:cs="Times New Roman"/>
          <w:color w:val="auto"/>
          <w:sz w:val="21"/>
          <w:szCs w:val="21"/>
          <w:highlight w:val="none"/>
          <w:lang w:eastAsia="zh-CN"/>
        </w:rPr>
        <w:t>缴费人</w:t>
      </w:r>
      <w:r>
        <w:rPr>
          <w:rFonts w:hint="default" w:ascii="Times New Roman" w:hAnsi="Times New Roman" w:cs="Times New Roman"/>
          <w:color w:val="auto"/>
          <w:sz w:val="21"/>
          <w:szCs w:val="21"/>
          <w:highlight w:val="none"/>
        </w:rPr>
        <w:t>使用的软件或产品，不得利用开发便利变相收费或搭车收费。</w:t>
      </w:r>
    </w:p>
    <w:p w14:paraId="4D9E9A48">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5. 保密条款</w:t>
      </w:r>
    </w:p>
    <w:p w14:paraId="7FFAD57D">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5.1 甲乙双方应对在本合同签订或履行过程中所接触的对方信息，包括但不限于知识产权、技术资料、技术诀窍、内部管理及其他相关信息，负有保密义务。</w:t>
      </w:r>
    </w:p>
    <w:p w14:paraId="486688F5">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784BBE2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 应以审慎态度避免泄漏、公开或传播甲方的信息；</w:t>
      </w:r>
    </w:p>
    <w:p w14:paraId="22CD6062">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 在开发过程中对数据的处理方式应事先得到甲方的许可；</w:t>
      </w:r>
    </w:p>
    <w:p w14:paraId="2E5B77FC">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 未经甲方书面许可，不得对有关信息进行修改、补充、复制；</w:t>
      </w:r>
    </w:p>
    <w:p w14:paraId="4A00CCC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 未经甲方书面许可，不得将信息以任何方式（如E-mail）携带出甲方场所；</w:t>
      </w:r>
    </w:p>
    <w:p w14:paraId="086BF386">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（5） 未经甲方书面许可，不得将信息透露给任何其他人； </w:t>
      </w:r>
    </w:p>
    <w:p w14:paraId="12555FC8">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 严禁在提交的软件</w:t>
      </w:r>
      <w:r>
        <w:rPr>
          <w:rFonts w:hint="default" w:ascii="Times New Roman" w:hAnsi="Times New Roman" w:cs="Times New Roman"/>
          <w:color w:val="auto"/>
          <w:sz w:val="21"/>
          <w:szCs w:val="21"/>
          <w:highlight w:val="none"/>
          <w:lang w:eastAsia="zh-CN"/>
        </w:rPr>
        <w:t>产品</w:t>
      </w:r>
      <w:r>
        <w:rPr>
          <w:rFonts w:hint="default" w:ascii="Times New Roman" w:hAnsi="Times New Roman" w:cs="Times New Roman"/>
          <w:color w:val="auto"/>
          <w:sz w:val="21"/>
          <w:szCs w:val="21"/>
          <w:highlight w:val="none"/>
        </w:rPr>
        <w:t>中设置远程维护接口和后门程序；</w:t>
      </w:r>
    </w:p>
    <w:p w14:paraId="5A8C6830">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 不得进行系统软硬件设备的远程维护；</w:t>
      </w:r>
    </w:p>
    <w:p w14:paraId="1BD2C508">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 甲方以书面形式提出的其他保密措施。</w:t>
      </w:r>
    </w:p>
    <w:p w14:paraId="29A6FB7C">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5.3 保密期限不受合同有效期的限制，在合同有效期结束后，信息接受方仍应承担保密义务，直至该等信息成为公开信息。</w:t>
      </w:r>
    </w:p>
    <w:p w14:paraId="45CE63D4">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 甲乙双方如出现泄密行为，泄密方应承担相关的法律责任，包括但是不限于对由此给对方造成的经济损失进行赔偿。</w:t>
      </w:r>
    </w:p>
    <w:p w14:paraId="1FB05836">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6</w:t>
      </w:r>
      <w:r>
        <w:rPr>
          <w:rFonts w:hint="default" w:ascii="Times New Roman" w:hAnsi="Times New Roman" w:cs="Times New Roman"/>
          <w:b/>
          <w:color w:val="auto"/>
          <w:sz w:val="21"/>
          <w:szCs w:val="21"/>
          <w:highlight w:val="none"/>
        </w:rPr>
        <w:t xml:space="preserve">. </w:t>
      </w:r>
      <w:r>
        <w:rPr>
          <w:rFonts w:hint="default" w:ascii="Times New Roman" w:hAnsi="Times New Roman" w:cs="Times New Roman"/>
          <w:b/>
          <w:color w:val="auto"/>
          <w:sz w:val="21"/>
          <w:szCs w:val="21"/>
          <w:highlight w:val="none"/>
          <w:lang w:eastAsia="zh-CN"/>
        </w:rPr>
        <w:t>履约</w:t>
      </w:r>
      <w:r>
        <w:rPr>
          <w:rFonts w:hint="default" w:ascii="Times New Roman" w:hAnsi="Times New Roman" w:cs="Times New Roman"/>
          <w:b/>
          <w:color w:val="auto"/>
          <w:sz w:val="21"/>
          <w:szCs w:val="21"/>
          <w:highlight w:val="none"/>
        </w:rPr>
        <w:t>验收要求</w:t>
      </w:r>
    </w:p>
    <w:p w14:paraId="249CEA3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.1 甲方</w:t>
      </w:r>
      <w:r>
        <w:rPr>
          <w:rFonts w:hint="default" w:ascii="Times New Roman" w:hAnsi="Times New Roman" w:cs="Times New Roman"/>
          <w:color w:val="auto"/>
          <w:sz w:val="21"/>
          <w:szCs w:val="21"/>
          <w:highlight w:val="none"/>
          <w:lang w:eastAsia="zh-CN"/>
        </w:rPr>
        <w:t>需求部门</w:t>
      </w:r>
      <w:r>
        <w:rPr>
          <w:rFonts w:hint="default" w:ascii="Times New Roman" w:hAnsi="Times New Roman" w:cs="Times New Roman"/>
          <w:color w:val="auto"/>
          <w:sz w:val="21"/>
          <w:szCs w:val="21"/>
          <w:highlight w:val="none"/>
        </w:rPr>
        <w:t>严格按照采购合同开展履约验收。验收时,</w:t>
      </w:r>
      <w:r>
        <w:rPr>
          <w:rFonts w:hint="default" w:ascii="Times New Roman" w:hAnsi="Times New Roman" w:cs="Times New Roman"/>
          <w:color w:val="auto"/>
          <w:sz w:val="21"/>
          <w:szCs w:val="21"/>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default" w:ascii="Times New Roman" w:hAnsi="Times New Roman" w:cs="Times New Roman"/>
          <w:color w:val="auto"/>
          <w:sz w:val="21"/>
          <w:szCs w:val="21"/>
          <w:highlight w:val="none"/>
        </w:rPr>
        <w:t>验收结束后</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应当出具验收意见，列明合同事项、验收标准及验收情况</w:t>
      </w:r>
      <w:r>
        <w:rPr>
          <w:rFonts w:hint="default" w:ascii="Times New Roman" w:hAnsi="Times New Roman" w:cs="Times New Roman"/>
          <w:color w:val="auto"/>
          <w:sz w:val="21"/>
          <w:szCs w:val="21"/>
          <w:highlight w:val="none"/>
          <w:lang w:eastAsia="zh-CN"/>
        </w:rPr>
        <w:t>，由全体验收人员签字</w:t>
      </w:r>
      <w:r>
        <w:rPr>
          <w:rFonts w:hint="default" w:ascii="Times New Roman" w:hAnsi="Times New Roman" w:cs="Times New Roman"/>
          <w:color w:val="auto"/>
          <w:sz w:val="21"/>
          <w:szCs w:val="21"/>
          <w:highlight w:val="none"/>
        </w:rPr>
        <w:t>。</w:t>
      </w:r>
    </w:p>
    <w:p w14:paraId="62C37A0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.2具体</w:t>
      </w:r>
      <w:r>
        <w:rPr>
          <w:rFonts w:hint="default" w:ascii="Times New Roman" w:hAnsi="Times New Roman" w:cs="Times New Roman"/>
          <w:color w:val="auto"/>
          <w:sz w:val="21"/>
          <w:szCs w:val="21"/>
          <w:highlight w:val="none"/>
          <w:lang w:eastAsia="zh-CN"/>
        </w:rPr>
        <w:t>履约</w:t>
      </w:r>
      <w:r>
        <w:rPr>
          <w:rFonts w:hint="default" w:ascii="Times New Roman" w:hAnsi="Times New Roman" w:cs="Times New Roman"/>
          <w:color w:val="auto"/>
          <w:sz w:val="21"/>
          <w:szCs w:val="21"/>
          <w:highlight w:val="none"/>
        </w:rPr>
        <w:t>验收要求详见</w:t>
      </w:r>
      <w:r>
        <w:rPr>
          <w:rFonts w:hint="default" w:ascii="Times New Roman" w:hAnsi="Times New Roman" w:cs="Times New Roman"/>
          <w:color w:val="auto"/>
          <w:sz w:val="21"/>
          <w:szCs w:val="21"/>
          <w:highlight w:val="none"/>
          <w:lang w:eastAsia="zh-CN"/>
        </w:rPr>
        <w:t>招标（</w:t>
      </w:r>
      <w:r>
        <w:rPr>
          <w:rFonts w:hint="default" w:ascii="Times New Roman" w:hAnsi="Times New Roman" w:cs="Times New Roman"/>
          <w:color w:val="auto"/>
          <w:sz w:val="21"/>
          <w:szCs w:val="21"/>
          <w:highlight w:val="none"/>
        </w:rPr>
        <w:t>采购</w:t>
      </w:r>
      <w:r>
        <w:rPr>
          <w:rFonts w:hint="default" w:ascii="Times New Roman" w:hAnsi="Times New Roman" w:cs="Times New Roman"/>
          <w:color w:val="auto"/>
          <w:sz w:val="21"/>
          <w:szCs w:val="21"/>
          <w:highlight w:val="none"/>
          <w:lang w:eastAsia="zh-CN"/>
        </w:rPr>
        <w:t>）</w:t>
      </w:r>
      <w:r>
        <w:rPr>
          <w:rFonts w:hint="default" w:ascii="Times New Roman" w:hAnsi="Times New Roman" w:cs="Times New Roman"/>
          <w:color w:val="auto"/>
          <w:sz w:val="21"/>
          <w:szCs w:val="21"/>
          <w:highlight w:val="none"/>
        </w:rPr>
        <w:t>文件。</w:t>
      </w:r>
    </w:p>
    <w:p w14:paraId="49669FDE">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7</w:t>
      </w:r>
      <w:r>
        <w:rPr>
          <w:rFonts w:hint="default" w:ascii="Times New Roman" w:hAnsi="Times New Roman" w:cs="Times New Roman"/>
          <w:b/>
          <w:color w:val="auto"/>
          <w:sz w:val="21"/>
          <w:szCs w:val="21"/>
          <w:highlight w:val="none"/>
        </w:rPr>
        <w:t>. 履约保证金</w:t>
      </w:r>
    </w:p>
    <w:p w14:paraId="2ADE8671">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.1 需提交履约保证金的项目，乙方应按照“合同条款前附表”第 1</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 xml:space="preserve"> 项“履约保证金及返还”提交履约保证金。</w:t>
      </w:r>
    </w:p>
    <w:p w14:paraId="654DE30E">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.2 履约保证金的金额</w:t>
      </w:r>
      <w:r>
        <w:rPr>
          <w:rFonts w:hint="default" w:ascii="Times New Roman" w:hAnsi="Times New Roman" w:cs="Times New Roman"/>
          <w:color w:val="auto"/>
          <w:sz w:val="21"/>
          <w:szCs w:val="21"/>
          <w:highlight w:val="none"/>
          <w:lang w:eastAsia="zh-CN"/>
        </w:rPr>
        <w:t>可用于</w:t>
      </w:r>
      <w:r>
        <w:rPr>
          <w:rFonts w:hint="default" w:ascii="Times New Roman" w:hAnsi="Times New Roman" w:cs="Times New Roman"/>
          <w:color w:val="auto"/>
          <w:sz w:val="21"/>
          <w:szCs w:val="21"/>
          <w:highlight w:val="none"/>
        </w:rPr>
        <w:t>补偿甲方因乙方不能完成其合同义务而蒙受的损失。</w:t>
      </w:r>
    </w:p>
    <w:p w14:paraId="0BEA2E44">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12FB5D0C">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.4 乙方不履行合同、或者履行合同义务不符合约定使得合同目的不能实现，履约保证金不予退还，并应按合同约定支付违约金、赔偿金等。</w:t>
      </w:r>
    </w:p>
    <w:p w14:paraId="7878AA6F">
      <w:pPr>
        <w:keepNext w:val="0"/>
        <w:keepLines w:val="0"/>
        <w:pageBreakBefore w:val="0"/>
        <w:widowControl w:val="0"/>
        <w:tabs>
          <w:tab w:val="left" w:pos="700"/>
        </w:tabs>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.5 履约保证金在合同履行期满后，扣除相应款项（如有）且双方无争议后，凭返还申请等资料一次性无息返还，详见“合同条款前附表”第</w:t>
      </w: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项“履约保证金及返还”。</w:t>
      </w:r>
    </w:p>
    <w:p w14:paraId="3CF1BF9E">
      <w:pPr>
        <w:keepNext w:val="0"/>
        <w:keepLines w:val="0"/>
        <w:pageBreakBefore w:val="0"/>
        <w:widowControl w:val="0"/>
        <w:tabs>
          <w:tab w:val="left" w:pos="0"/>
          <w:tab w:val="left" w:pos="54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8</w:t>
      </w:r>
      <w:r>
        <w:rPr>
          <w:rFonts w:hint="default" w:ascii="Times New Roman" w:hAnsi="Times New Roman" w:cs="Times New Roman"/>
          <w:b/>
          <w:color w:val="auto"/>
          <w:sz w:val="21"/>
          <w:szCs w:val="21"/>
          <w:highlight w:val="none"/>
        </w:rPr>
        <w:t>．履约延误</w:t>
      </w:r>
    </w:p>
    <w:p w14:paraId="2BAF5E62">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.1 乙方应按照本合同的规定提供服务。</w:t>
      </w:r>
    </w:p>
    <w:p w14:paraId="1499284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14:paraId="32105587">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w:t>
      </w:r>
      <w:r>
        <w:rPr>
          <w:rFonts w:hint="default" w:ascii="Times New Roman" w:hAnsi="Times New Roman" w:cs="Times New Roman"/>
          <w:color w:val="auto"/>
          <w:sz w:val="21"/>
          <w:szCs w:val="21"/>
          <w:highlight w:val="none"/>
          <w:lang w:eastAsia="zh-CN"/>
        </w:rPr>
        <w:t>误期违约金</w:t>
      </w:r>
      <w:r>
        <w:rPr>
          <w:rFonts w:hint="default" w:ascii="Times New Roman" w:hAnsi="Times New Roman" w:cs="Times New Roman"/>
          <w:color w:val="auto"/>
          <w:sz w:val="21"/>
          <w:szCs w:val="21"/>
          <w:highlight w:val="none"/>
        </w:rPr>
        <w:t>。</w:t>
      </w:r>
    </w:p>
    <w:p w14:paraId="4373F0D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.4 除不可抗力和根据合同规定延期取得甲方同意而不收取</w:t>
      </w:r>
      <w:r>
        <w:rPr>
          <w:rFonts w:hint="default" w:ascii="Times New Roman" w:hAnsi="Times New Roman" w:cs="Times New Roman"/>
          <w:color w:val="auto"/>
          <w:sz w:val="21"/>
          <w:szCs w:val="21"/>
          <w:highlight w:val="none"/>
          <w:lang w:eastAsia="zh-CN"/>
        </w:rPr>
        <w:t>误期违约金</w:t>
      </w:r>
      <w:r>
        <w:rPr>
          <w:rFonts w:hint="default" w:ascii="Times New Roman" w:hAnsi="Times New Roman" w:cs="Times New Roman"/>
          <w:color w:val="auto"/>
          <w:sz w:val="21"/>
          <w:szCs w:val="21"/>
          <w:highlight w:val="none"/>
        </w:rPr>
        <w:t>之外，乙方延误工期，将按合同规定被收取</w:t>
      </w:r>
      <w:r>
        <w:rPr>
          <w:rFonts w:hint="default" w:ascii="Times New Roman" w:hAnsi="Times New Roman" w:cs="Times New Roman"/>
          <w:color w:val="auto"/>
          <w:sz w:val="21"/>
          <w:szCs w:val="21"/>
          <w:highlight w:val="none"/>
          <w:lang w:eastAsia="zh-CN"/>
        </w:rPr>
        <w:t>误期违约金</w:t>
      </w:r>
      <w:r>
        <w:rPr>
          <w:rFonts w:hint="default" w:ascii="Times New Roman" w:hAnsi="Times New Roman" w:cs="Times New Roman"/>
          <w:color w:val="auto"/>
          <w:sz w:val="21"/>
          <w:szCs w:val="21"/>
          <w:highlight w:val="none"/>
        </w:rPr>
        <w:t>。</w:t>
      </w:r>
    </w:p>
    <w:p w14:paraId="037CAE0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default" w:ascii="Times New Roman" w:hAnsi="Times New Roman" w:cs="Times New Roman"/>
          <w:color w:val="auto"/>
          <w:sz w:val="21"/>
          <w:szCs w:val="21"/>
          <w:highlight w:val="none"/>
          <w:lang w:eastAsia="zh-CN"/>
        </w:rPr>
        <w:t>的</w:t>
      </w:r>
      <w:r>
        <w:rPr>
          <w:rFonts w:hint="default" w:ascii="Times New Roman" w:hAnsi="Times New Roman" w:cs="Times New Roman"/>
          <w:color w:val="auto"/>
          <w:sz w:val="21"/>
          <w:szCs w:val="21"/>
          <w:highlight w:val="none"/>
        </w:rPr>
        <w:t>，乙方可要求</w:t>
      </w:r>
      <w:r>
        <w:rPr>
          <w:rFonts w:hint="default" w:ascii="Times New Roman" w:hAnsi="Times New Roman" w:cs="Times New Roman"/>
          <w:color w:val="auto"/>
          <w:sz w:val="21"/>
          <w:szCs w:val="21"/>
          <w:highlight w:val="none"/>
          <w:lang w:eastAsia="zh-CN"/>
        </w:rPr>
        <w:t>甲方按</w:t>
      </w:r>
      <w:r>
        <w:rPr>
          <w:rFonts w:hint="default" w:ascii="Times New Roman" w:hAnsi="Times New Roman" w:cs="Times New Roman"/>
          <w:color w:val="auto"/>
          <w:sz w:val="21"/>
          <w:szCs w:val="21"/>
          <w:highlight w:val="none"/>
        </w:rPr>
        <w:t>银行</w:t>
      </w:r>
      <w:r>
        <w:rPr>
          <w:rFonts w:hint="default" w:ascii="Times New Roman" w:hAnsi="Times New Roman" w:cs="Times New Roman"/>
          <w:color w:val="auto"/>
          <w:sz w:val="21"/>
          <w:szCs w:val="21"/>
          <w:highlight w:val="none"/>
          <w:lang w:eastAsia="zh-CN"/>
        </w:rPr>
        <w:t>同期</w:t>
      </w:r>
      <w:r>
        <w:rPr>
          <w:rFonts w:hint="default" w:ascii="Times New Roman" w:hAnsi="Times New Roman" w:cs="Times New Roman"/>
          <w:color w:val="auto"/>
          <w:sz w:val="21"/>
          <w:szCs w:val="21"/>
          <w:highlight w:val="none"/>
        </w:rPr>
        <w:t>活期存款</w:t>
      </w:r>
      <w:r>
        <w:rPr>
          <w:rFonts w:hint="default" w:ascii="Times New Roman" w:hAnsi="Times New Roman" w:cs="Times New Roman"/>
          <w:color w:val="auto"/>
          <w:sz w:val="21"/>
          <w:szCs w:val="21"/>
          <w:highlight w:val="none"/>
          <w:lang w:eastAsia="zh-CN"/>
        </w:rPr>
        <w:t>利率支付逾期利息</w:t>
      </w:r>
      <w:r>
        <w:rPr>
          <w:rFonts w:hint="default" w:ascii="Times New Roman" w:hAnsi="Times New Roman" w:cs="Times New Roman"/>
          <w:color w:val="auto"/>
          <w:sz w:val="21"/>
          <w:szCs w:val="21"/>
          <w:highlight w:val="none"/>
        </w:rPr>
        <w:t>。特殊原因逾期返还的，双方协商解决。</w:t>
      </w:r>
    </w:p>
    <w:p w14:paraId="0E66240D">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9</w:t>
      </w:r>
      <w:r>
        <w:rPr>
          <w:rFonts w:hint="default" w:ascii="Times New Roman" w:hAnsi="Times New Roman" w:cs="Times New Roman"/>
          <w:b/>
          <w:color w:val="auto"/>
          <w:sz w:val="21"/>
          <w:szCs w:val="21"/>
          <w:highlight w:val="none"/>
        </w:rPr>
        <w:t>. 违约责任</w:t>
      </w:r>
    </w:p>
    <w:p w14:paraId="51BF94A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4EEA4242">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.2 乙方没有按照时限要求提供服务，且在甲方指定的延长期限内没有采取补救措施，甲方有权自行采取其他方式进行补救，乙方除按合同第</w:t>
      </w: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条约定向甲方支付误期违约金外，另外甲方所发生的一切费用和甲方损失，甲方有权从应付的乙方的合同款项中扣除，不足扣除的乙方应另行支付。</w:t>
      </w:r>
    </w:p>
    <w:p w14:paraId="791D19E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.3 除应支付甲方违约金等外，甲方有权根据合同或有关部门出具的检验证书向乙方提出索赔。</w:t>
      </w:r>
    </w:p>
    <w:p w14:paraId="61C3126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.4 如果乙方对差异负有责任而甲方提出索赔，乙方同意按照下列方式解决索赔事宜：</w:t>
      </w:r>
    </w:p>
    <w:p w14:paraId="754ECAB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14:paraId="36DD7AD9">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 xml:space="preserve"> 对于本协议未约定的、招标（采购）文件（技术部分）中约定的违约处理条款，按招标（采购）文件（技术部分）相关约定执行；对本协议与招标（采购）文件（技术部分）约定不同的违约处理条款，以本协议约定为准。</w:t>
      </w:r>
    </w:p>
    <w:p w14:paraId="15D54C56">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10</w:t>
      </w:r>
      <w:r>
        <w:rPr>
          <w:rFonts w:hint="default" w:ascii="Times New Roman" w:hAnsi="Times New Roman" w:cs="Times New Roman"/>
          <w:b/>
          <w:color w:val="auto"/>
          <w:sz w:val="21"/>
          <w:szCs w:val="21"/>
          <w:highlight w:val="none"/>
        </w:rPr>
        <w:t>. 不可抗力</w:t>
      </w:r>
    </w:p>
    <w:p w14:paraId="4AB48155">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 xml:space="preserve"> 本条所述的“不可抗力”系指双方不可预见、不可避免、不可克服的客观情况，但不包括双方的违约或疏忽。这些事件包括但不限于：战争、严重火灾、洪水、台风、地震等。</w:t>
      </w:r>
    </w:p>
    <w:p w14:paraId="595F3ED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 xml:space="preserve"> 如果乙方因不可抗力而导致合同实施延误或不能履行合同义务，不应承担误期赔偿或终止合同的责任。</w:t>
      </w:r>
    </w:p>
    <w:p w14:paraId="1AFC6334">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1570D5B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503F577B">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1</w:t>
      </w:r>
      <w:r>
        <w:rPr>
          <w:rFonts w:hint="default" w:ascii="Times New Roman" w:hAnsi="Times New Roman" w:cs="Times New Roman"/>
          <w:b/>
          <w:color w:val="auto"/>
          <w:sz w:val="21"/>
          <w:szCs w:val="21"/>
          <w:highlight w:val="none"/>
        </w:rPr>
        <w:t>. 争端的解决</w:t>
      </w:r>
    </w:p>
    <w:p w14:paraId="2C62D9BF">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.1 甲乙双方应</w:t>
      </w:r>
      <w:r>
        <w:rPr>
          <w:rFonts w:hint="default" w:ascii="Times New Roman" w:hAnsi="Times New Roman" w:cs="Times New Roman"/>
          <w:color w:val="auto"/>
          <w:sz w:val="21"/>
          <w:szCs w:val="21"/>
          <w:highlight w:val="none"/>
          <w:lang w:eastAsia="zh-CN"/>
        </w:rPr>
        <w:t>首先</w:t>
      </w:r>
      <w:r>
        <w:rPr>
          <w:rFonts w:hint="default" w:ascii="Times New Roman" w:hAnsi="Times New Roman" w:cs="Times New Roman"/>
          <w:color w:val="auto"/>
          <w:sz w:val="21"/>
          <w:szCs w:val="21"/>
          <w:highlight w:val="none"/>
        </w:rPr>
        <w:t>通过友好协商解决在执行本合同中所发生的或与本合同有关的一切争端。如从协商开始</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天内仍不能解决，</w:t>
      </w:r>
      <w:r>
        <w:rPr>
          <w:rFonts w:hint="default" w:ascii="Times New Roman" w:hAnsi="Times New Roman" w:cs="Times New Roman"/>
          <w:color w:val="auto"/>
          <w:sz w:val="21"/>
          <w:szCs w:val="21"/>
          <w:highlight w:val="none"/>
          <w:lang w:eastAsia="zh-CN"/>
        </w:rPr>
        <w:t>可以按合同约定的方式提起仲裁或诉讼</w:t>
      </w:r>
      <w:r>
        <w:rPr>
          <w:rFonts w:hint="default" w:ascii="Times New Roman" w:hAnsi="Times New Roman" w:cs="Times New Roman"/>
          <w:color w:val="auto"/>
          <w:sz w:val="21"/>
          <w:szCs w:val="21"/>
          <w:highlight w:val="none"/>
        </w:rPr>
        <w:t>。</w:t>
      </w:r>
    </w:p>
    <w:p w14:paraId="52323BE7">
      <w:pPr>
        <w:keepNext w:val="0"/>
        <w:keepLines w:val="0"/>
        <w:pageBreakBefore w:val="0"/>
        <w:widowControl w:val="0"/>
        <w:kinsoku/>
        <w:wordWrap/>
        <w:overflowPunct/>
        <w:bidi w:val="0"/>
        <w:adjustRightInd/>
        <w:snapToGrid/>
        <w:spacing w:line="360" w:lineRule="auto"/>
        <w:ind w:left="239" w:leftChars="114" w:firstLine="210" w:firstLineChars="1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2.1</w:t>
      </w:r>
      <w:r>
        <w:rPr>
          <w:rFonts w:hint="default" w:ascii="Times New Roman" w:hAnsi="Times New Roman" w:cs="Times New Roman"/>
          <w:color w:val="auto"/>
          <w:sz w:val="21"/>
          <w:szCs w:val="21"/>
          <w:highlight w:val="none"/>
        </w:rPr>
        <w:t>仲裁应</w:t>
      </w:r>
      <w:r>
        <w:rPr>
          <w:rFonts w:hint="default" w:ascii="Times New Roman" w:hAnsi="Times New Roman" w:cs="Times New Roman"/>
          <w:color w:val="auto"/>
          <w:sz w:val="21"/>
          <w:szCs w:val="21"/>
          <w:highlight w:val="none"/>
          <w:lang w:eastAsia="zh-CN"/>
        </w:rPr>
        <w:t>向</w:t>
      </w:r>
      <w:r>
        <w:rPr>
          <w:rFonts w:hint="default" w:ascii="Times New Roman" w:hAnsi="Times New Roman" w:cs="Times New Roman"/>
          <w:color w:val="auto"/>
          <w:sz w:val="21"/>
          <w:szCs w:val="21"/>
          <w:highlight w:val="none"/>
        </w:rPr>
        <w:t>甲方所在地或</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仲裁委员会申请仲裁。</w:t>
      </w:r>
    </w:p>
    <w:p w14:paraId="0C443500">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2.2</w:t>
      </w:r>
      <w:r>
        <w:rPr>
          <w:rFonts w:hint="default" w:ascii="Times New Roman" w:hAnsi="Times New Roman" w:cs="Times New Roman"/>
          <w:color w:val="auto"/>
          <w:sz w:val="21"/>
          <w:szCs w:val="21"/>
          <w:highlight w:val="none"/>
        </w:rPr>
        <w:t xml:space="preserve"> 仲裁裁决应为最终裁决，对双方均具有约束力。</w:t>
      </w:r>
    </w:p>
    <w:p w14:paraId="54E724B1">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2.3</w:t>
      </w:r>
      <w:r>
        <w:rPr>
          <w:rFonts w:hint="default" w:ascii="Times New Roman" w:hAnsi="Times New Roman" w:cs="Times New Roman"/>
          <w:color w:val="auto"/>
          <w:sz w:val="21"/>
          <w:szCs w:val="21"/>
          <w:highlight w:val="none"/>
        </w:rPr>
        <w:t xml:space="preserve"> 仲裁费除仲裁机关另有裁决外应由败诉方负担。</w:t>
      </w:r>
    </w:p>
    <w:p w14:paraId="290919C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lang w:val="en-US" w:eastAsia="zh-CN"/>
        </w:rPr>
        <w:t>2.4</w:t>
      </w:r>
      <w:r>
        <w:rPr>
          <w:rFonts w:hint="default" w:ascii="Times New Roman" w:hAnsi="Times New Roman" w:cs="Times New Roman"/>
          <w:color w:val="auto"/>
          <w:sz w:val="21"/>
          <w:szCs w:val="21"/>
          <w:highlight w:val="none"/>
        </w:rPr>
        <w:t>在仲裁期间，除正在进行仲裁部分外，本合同的其它部分应继续执行。</w:t>
      </w:r>
    </w:p>
    <w:p w14:paraId="3CF8B42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11.3.1诉讼应向甲方所在地或</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lang w:val="en-US" w:eastAsia="zh-CN"/>
        </w:rPr>
        <w:t>人民法院提起诉讼。</w:t>
      </w:r>
    </w:p>
    <w:p w14:paraId="01F5B6D5">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11.3.2诉讼费除人民法院另有判决外，应由败诉方负担。</w:t>
      </w:r>
    </w:p>
    <w:p w14:paraId="19F0FD89">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11.3.3在诉讼期间，除正在进行诉讼部分外，本</w:t>
      </w:r>
      <w:r>
        <w:rPr>
          <w:rFonts w:hint="default" w:ascii="Times New Roman" w:hAnsi="Times New Roman" w:cs="Times New Roman"/>
          <w:color w:val="auto"/>
          <w:sz w:val="21"/>
          <w:szCs w:val="21"/>
          <w:highlight w:val="none"/>
        </w:rPr>
        <w:t>合同的其它部分应继续执行。</w:t>
      </w:r>
    </w:p>
    <w:p w14:paraId="5D5653AB">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2</w:t>
      </w:r>
      <w:r>
        <w:rPr>
          <w:rFonts w:hint="default" w:ascii="Times New Roman" w:hAnsi="Times New Roman" w:cs="Times New Roman"/>
          <w:b/>
          <w:color w:val="auto"/>
          <w:sz w:val="21"/>
          <w:szCs w:val="21"/>
          <w:highlight w:val="none"/>
        </w:rPr>
        <w:t>. 违约终止合同</w:t>
      </w:r>
    </w:p>
    <w:p w14:paraId="45D5EAD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07D6D8D8">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 xml:space="preserve">12.1.1 </w:t>
      </w:r>
      <w:r>
        <w:rPr>
          <w:rFonts w:hint="default" w:ascii="Times New Roman" w:hAnsi="Times New Roman" w:cs="Times New Roman"/>
          <w:color w:val="auto"/>
          <w:sz w:val="21"/>
          <w:szCs w:val="21"/>
          <w:highlight w:val="none"/>
          <w:lang w:eastAsia="zh-CN"/>
        </w:rPr>
        <w:t>乙方不履行合同义务或者履行合同义务不符合合同约定累计达两次的；</w:t>
      </w:r>
    </w:p>
    <w:p w14:paraId="660106A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 xml:space="preserve"> 如果乙方未能在合同规定的期限或甲方同意延长的期限内提供服务</w:t>
      </w:r>
      <w:r>
        <w:rPr>
          <w:rFonts w:hint="default" w:ascii="Times New Roman" w:hAnsi="Times New Roman" w:cs="Times New Roman"/>
          <w:color w:val="auto"/>
          <w:sz w:val="21"/>
          <w:szCs w:val="21"/>
          <w:highlight w:val="none"/>
          <w:lang w:eastAsia="zh-CN"/>
        </w:rPr>
        <w:t>，迟延累计达20日的；</w:t>
      </w:r>
    </w:p>
    <w:p w14:paraId="3B7B984F">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 xml:space="preserve"> 因乙方人员自身技术能力、经验不足等问题造成甲方发生重大紧急故障，带来重大影响和损失的；</w:t>
      </w:r>
    </w:p>
    <w:p w14:paraId="00EAE6A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 xml:space="preserve"> 乙方对重大紧急故障没有及时响应，或不能在规定时间内解决处理故障、恢复正常运行的；</w:t>
      </w:r>
    </w:p>
    <w:p w14:paraId="1742FF8D">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 xml:space="preserve"> </w:t>
      </w:r>
      <w:r>
        <w:rPr>
          <w:rFonts w:hint="default" w:ascii="Times New Roman" w:hAnsi="Times New Roman" w:cs="Times New Roman"/>
          <w:color w:val="auto"/>
          <w:sz w:val="21"/>
          <w:szCs w:val="21"/>
          <w:highlight w:val="none"/>
          <w:lang w:eastAsia="zh-CN"/>
        </w:rPr>
        <w:t>乙方</w:t>
      </w:r>
      <w:r>
        <w:rPr>
          <w:rFonts w:hint="default" w:ascii="Times New Roman" w:hAnsi="Times New Roman" w:cs="Times New Roman"/>
          <w:color w:val="auto"/>
          <w:sz w:val="21"/>
          <w:szCs w:val="21"/>
          <w:highlight w:val="none"/>
        </w:rPr>
        <w:t>不能满足本项目技术需求的管理要求和规范，且经</w:t>
      </w:r>
      <w:r>
        <w:rPr>
          <w:rFonts w:hint="default" w:ascii="Times New Roman" w:hAnsi="Times New Roman" w:cs="Times New Roman"/>
          <w:color w:val="auto"/>
          <w:sz w:val="21"/>
          <w:szCs w:val="21"/>
          <w:highlight w:val="none"/>
          <w:lang w:eastAsia="zh-CN"/>
        </w:rPr>
        <w:t>两</w:t>
      </w:r>
      <w:r>
        <w:rPr>
          <w:rFonts w:hint="default" w:ascii="Times New Roman" w:hAnsi="Times New Roman" w:cs="Times New Roman"/>
          <w:color w:val="auto"/>
          <w:sz w:val="21"/>
          <w:szCs w:val="21"/>
          <w:highlight w:val="none"/>
        </w:rPr>
        <w:t>次整改无明显改进的</w:t>
      </w:r>
      <w:r>
        <w:rPr>
          <w:rFonts w:hint="default" w:ascii="Times New Roman" w:hAnsi="Times New Roman" w:cs="Times New Roman"/>
          <w:color w:val="auto"/>
          <w:sz w:val="21"/>
          <w:szCs w:val="21"/>
          <w:highlight w:val="none"/>
          <w:lang w:eastAsia="zh-CN"/>
        </w:rPr>
        <w:t>；</w:t>
      </w:r>
    </w:p>
    <w:p w14:paraId="1907C67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 xml:space="preserve">12.1.6 </w:t>
      </w:r>
      <w:r>
        <w:rPr>
          <w:rFonts w:hint="default" w:ascii="Times New Roman" w:hAnsi="Times New Roman" w:cs="Times New Roman"/>
          <w:color w:val="auto"/>
          <w:sz w:val="21"/>
          <w:szCs w:val="21"/>
          <w:highlight w:val="none"/>
        </w:rPr>
        <w:t>乙方利用本项目实施过程中所产生的成果（</w:t>
      </w:r>
      <w:r>
        <w:rPr>
          <w:rFonts w:hint="default" w:ascii="Times New Roman" w:hAnsi="Times New Roman" w:cs="Times New Roman"/>
          <w:color w:val="auto"/>
          <w:sz w:val="21"/>
          <w:szCs w:val="21"/>
          <w:highlight w:val="none"/>
          <w:lang w:eastAsia="zh-CN"/>
        </w:rPr>
        <w:t>包括但不限于发明</w:t>
      </w:r>
      <w:r>
        <w:rPr>
          <w:rFonts w:hint="default" w:ascii="Times New Roman" w:hAnsi="Times New Roman" w:cs="Times New Roman"/>
          <w:color w:val="auto"/>
          <w:sz w:val="21"/>
          <w:szCs w:val="21"/>
          <w:highlight w:val="none"/>
        </w:rPr>
        <w:t>、发现、可运行系统、源代码及相关技术资料、文档等），另行自行开发本合同业务范围内供纳税人</w:t>
      </w:r>
      <w:r>
        <w:rPr>
          <w:rFonts w:hint="default" w:ascii="Times New Roman" w:hAnsi="Times New Roman" w:cs="Times New Roman"/>
          <w:color w:val="auto"/>
          <w:sz w:val="21"/>
          <w:szCs w:val="21"/>
          <w:highlight w:val="none"/>
          <w:lang w:eastAsia="zh-CN"/>
        </w:rPr>
        <w:t>缴费人</w:t>
      </w:r>
      <w:r>
        <w:rPr>
          <w:rFonts w:hint="default" w:ascii="Times New Roman" w:hAnsi="Times New Roman" w:cs="Times New Roman"/>
          <w:color w:val="auto"/>
          <w:sz w:val="21"/>
          <w:szCs w:val="21"/>
          <w:highlight w:val="none"/>
        </w:rPr>
        <w:t>使用的软件或产品的，或利用</w:t>
      </w:r>
      <w:r>
        <w:rPr>
          <w:rFonts w:hint="default" w:ascii="Times New Roman" w:hAnsi="Times New Roman" w:cs="Times New Roman"/>
          <w:color w:val="auto"/>
          <w:sz w:val="21"/>
          <w:szCs w:val="21"/>
          <w:highlight w:val="none"/>
          <w:lang w:eastAsia="zh-CN"/>
        </w:rPr>
        <w:t>为税务机关提供信息化服务的</w:t>
      </w:r>
      <w:r>
        <w:rPr>
          <w:rFonts w:hint="default" w:ascii="Times New Roman" w:hAnsi="Times New Roman" w:cs="Times New Roman"/>
          <w:color w:val="auto"/>
          <w:sz w:val="21"/>
          <w:szCs w:val="21"/>
          <w:highlight w:val="none"/>
        </w:rPr>
        <w:t>便利</w:t>
      </w:r>
      <w:r>
        <w:rPr>
          <w:rFonts w:hint="default" w:ascii="Times New Roman" w:hAnsi="Times New Roman" w:cs="Times New Roman"/>
          <w:color w:val="auto"/>
          <w:sz w:val="21"/>
          <w:szCs w:val="21"/>
          <w:highlight w:val="none"/>
          <w:lang w:eastAsia="zh-CN"/>
        </w:rPr>
        <w:t>，向纳税人缴费人</w:t>
      </w:r>
      <w:r>
        <w:rPr>
          <w:rFonts w:hint="default" w:ascii="Times New Roman" w:hAnsi="Times New Roman" w:cs="Times New Roman"/>
          <w:color w:val="auto"/>
          <w:sz w:val="21"/>
          <w:szCs w:val="21"/>
          <w:highlight w:val="none"/>
        </w:rPr>
        <w:t>搭车收费或变相收费的，</w:t>
      </w:r>
      <w:r>
        <w:rPr>
          <w:rFonts w:hint="default" w:ascii="Times New Roman" w:hAnsi="Times New Roman" w:cs="Times New Roman"/>
          <w:color w:val="auto"/>
          <w:sz w:val="21"/>
          <w:szCs w:val="21"/>
          <w:highlight w:val="none"/>
          <w:lang w:eastAsia="zh-CN"/>
        </w:rPr>
        <w:t>或有其他失信行为的；</w:t>
      </w:r>
    </w:p>
    <w:p w14:paraId="44124A0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12.1.7 乙方在本项目实施过程中发生违反网络安全规定行为造成不良后果的。</w:t>
      </w:r>
    </w:p>
    <w:p w14:paraId="38CDF47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8</w:t>
      </w:r>
      <w:r>
        <w:rPr>
          <w:rFonts w:hint="default" w:ascii="Times New Roman" w:hAnsi="Times New Roman" w:cs="Times New Roman"/>
          <w:color w:val="auto"/>
          <w:sz w:val="21"/>
          <w:szCs w:val="21"/>
          <w:highlight w:val="none"/>
        </w:rPr>
        <w:t xml:space="preserve"> 乙方提供的服务侵犯甲方、第三方知识产权等合法权益的；</w:t>
      </w:r>
    </w:p>
    <w:p w14:paraId="7A7AF45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9</w:t>
      </w:r>
      <w:r>
        <w:rPr>
          <w:rFonts w:hint="default" w:ascii="Times New Roman" w:hAnsi="Times New Roman" w:cs="Times New Roman"/>
          <w:color w:val="auto"/>
          <w:sz w:val="21"/>
          <w:szCs w:val="21"/>
          <w:highlight w:val="none"/>
        </w:rPr>
        <w:t xml:space="preserve"> 乙方或乙方人员造成甲方或第三方经济损失而拒不赔偿的；</w:t>
      </w:r>
    </w:p>
    <w:p w14:paraId="54D5A55A">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.1.1</w:t>
      </w:r>
      <w:r>
        <w:rPr>
          <w:rFonts w:hint="default" w:ascii="Times New Roman" w:hAnsi="Times New Roman" w:cs="Times New Roman"/>
          <w:color w:val="auto"/>
          <w:sz w:val="21"/>
          <w:szCs w:val="21"/>
          <w:highlight w:val="none"/>
          <w:lang w:val="en-US" w:eastAsia="zh-CN"/>
        </w:rPr>
        <w:t>0</w:t>
      </w:r>
      <w:r>
        <w:rPr>
          <w:rFonts w:hint="default" w:ascii="Times New Roman" w:hAnsi="Times New Roman" w:cs="Times New Roman"/>
          <w:color w:val="auto"/>
          <w:sz w:val="21"/>
          <w:szCs w:val="21"/>
          <w:highlight w:val="none"/>
        </w:rPr>
        <w:t xml:space="preserve"> 乙方转让其应履行的合同义务，或未经甲方同意采取分包方式履行合同</w:t>
      </w:r>
    </w:p>
    <w:p w14:paraId="3AC83241">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的；</w:t>
      </w:r>
    </w:p>
    <w:p w14:paraId="58FC8A3B">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.1.1</w:t>
      </w:r>
      <w:r>
        <w:rPr>
          <w:rFonts w:hint="default" w:ascii="Times New Roman" w:hAnsi="Times New Roman"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 xml:space="preserve"> 乙方有其他严重违约行为的。</w:t>
      </w:r>
    </w:p>
    <w:p w14:paraId="0437F097">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.2 如果甲方根据上述第1</w:t>
      </w:r>
      <w:r>
        <w:rPr>
          <w:rFonts w:hint="default"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.1条的规定，</w:t>
      </w:r>
      <w:r>
        <w:rPr>
          <w:rFonts w:hint="default" w:ascii="Times New Roman" w:hAnsi="Times New Roman" w:cs="Times New Roman"/>
          <w:color w:val="auto"/>
          <w:sz w:val="21"/>
          <w:szCs w:val="21"/>
          <w:highlight w:val="none"/>
          <w:lang w:eastAsia="zh-CN"/>
        </w:rPr>
        <w:t>解除</w:t>
      </w:r>
      <w:r>
        <w:rPr>
          <w:rFonts w:hint="default" w:ascii="Times New Roman" w:hAnsi="Times New Roman" w:cs="Times New Roman"/>
          <w:color w:val="auto"/>
          <w:sz w:val="21"/>
          <w:szCs w:val="21"/>
          <w:highlight w:val="none"/>
        </w:rPr>
        <w:t>了全部或部分合同，甲方可以适当的条件和方法购买乙方未能提供的服务，乙方应对甲方购买类似服务所超出的费用负责。同时，乙方应继续执行合同中未</w:t>
      </w:r>
      <w:r>
        <w:rPr>
          <w:rFonts w:hint="default" w:ascii="Times New Roman" w:hAnsi="Times New Roman" w:cs="Times New Roman"/>
          <w:color w:val="auto"/>
          <w:sz w:val="21"/>
          <w:szCs w:val="21"/>
          <w:highlight w:val="none"/>
          <w:lang w:eastAsia="zh-CN"/>
        </w:rPr>
        <w:t>解除</w:t>
      </w:r>
      <w:r>
        <w:rPr>
          <w:rFonts w:hint="default" w:ascii="Times New Roman" w:hAnsi="Times New Roman" w:cs="Times New Roman"/>
          <w:color w:val="auto"/>
          <w:sz w:val="21"/>
          <w:szCs w:val="21"/>
          <w:highlight w:val="none"/>
        </w:rPr>
        <w:t>的部分。</w:t>
      </w:r>
    </w:p>
    <w:p w14:paraId="7DB2FA5B">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3</w:t>
      </w:r>
      <w:r>
        <w:rPr>
          <w:rFonts w:hint="default" w:ascii="Times New Roman" w:hAnsi="Times New Roman" w:cs="Times New Roman"/>
          <w:b/>
          <w:color w:val="auto"/>
          <w:sz w:val="21"/>
          <w:szCs w:val="21"/>
          <w:highlight w:val="none"/>
        </w:rPr>
        <w:t>. 破产终止合同</w:t>
      </w:r>
    </w:p>
    <w:p w14:paraId="593E0122">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.1 如果乙方破产或无清偿能力，甲方可在任何时候以书面形式通知乙方终止合同而不给乙方补偿。</w:t>
      </w:r>
    </w:p>
    <w:p w14:paraId="378C905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3</w:t>
      </w:r>
      <w:r>
        <w:rPr>
          <w:rFonts w:hint="default" w:ascii="Times New Roman" w:hAnsi="Times New Roman" w:cs="Times New Roman"/>
          <w:color w:val="auto"/>
          <w:sz w:val="21"/>
          <w:szCs w:val="21"/>
          <w:highlight w:val="none"/>
        </w:rPr>
        <w:t>.2该终止合同将不损害或影响甲方已经采取或将要采取的任何行动或补救措施的权</w:t>
      </w:r>
      <w:r>
        <w:rPr>
          <w:rFonts w:hint="default" w:ascii="Times New Roman" w:hAnsi="Times New Roman" w:cs="Times New Roman"/>
          <w:color w:val="auto"/>
          <w:sz w:val="21"/>
          <w:szCs w:val="21"/>
          <w:highlight w:val="none"/>
          <w:lang w:eastAsia="zh-CN"/>
        </w:rPr>
        <w:t>利</w:t>
      </w:r>
      <w:r>
        <w:rPr>
          <w:rFonts w:hint="default" w:ascii="Times New Roman" w:hAnsi="Times New Roman" w:cs="Times New Roman"/>
          <w:color w:val="auto"/>
          <w:sz w:val="21"/>
          <w:szCs w:val="21"/>
          <w:highlight w:val="none"/>
        </w:rPr>
        <w:t>。</w:t>
      </w:r>
    </w:p>
    <w:p w14:paraId="57C00A1E">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4</w:t>
      </w:r>
      <w:r>
        <w:rPr>
          <w:rFonts w:hint="default" w:ascii="Times New Roman" w:hAnsi="Times New Roman" w:cs="Times New Roman"/>
          <w:b/>
          <w:color w:val="auto"/>
          <w:sz w:val="21"/>
          <w:szCs w:val="21"/>
          <w:highlight w:val="none"/>
        </w:rPr>
        <w:t>. 其他情况的终止合同</w:t>
      </w:r>
    </w:p>
    <w:p w14:paraId="36F18C8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.1 乙方在执行合同的过程中发生重大事故或变故，对履行合同有直接影响的，甲方可以提出终止合同而不给予乙方任何补偿。</w:t>
      </w:r>
    </w:p>
    <w:p w14:paraId="07362A26">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.2 在服务期内，由于甲方工作计划调整，推广使用新应用系统导致本项目相关服务停止的，甲方可以提出终止合同而不给予乙方任何补偿。</w:t>
      </w:r>
    </w:p>
    <w:p w14:paraId="2F570068">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15</w:t>
      </w:r>
      <w:r>
        <w:rPr>
          <w:rFonts w:hint="default" w:ascii="Times New Roman" w:hAnsi="Times New Roman" w:cs="Times New Roman"/>
          <w:b/>
          <w:color w:val="auto"/>
          <w:sz w:val="21"/>
          <w:szCs w:val="21"/>
          <w:highlight w:val="none"/>
        </w:rPr>
        <w:t>. 合同修改或变更</w:t>
      </w:r>
    </w:p>
    <w:p w14:paraId="322982E6">
      <w:pPr>
        <w:keepNext w:val="0"/>
        <w:keepLines w:val="0"/>
        <w:pageBreakBefore w:val="0"/>
        <w:widowControl w:val="0"/>
        <w:kinsoku/>
        <w:wordWrap/>
        <w:overflowPunct/>
        <w:bidi w:val="0"/>
        <w:adjustRightInd/>
        <w:snapToGrid/>
        <w:spacing w:line="360" w:lineRule="auto"/>
        <w:ind w:firstLine="482"/>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.1 合同如有未尽事宜，须经甲乙双方共同协商，做出补充约定，并签订书面补充合同或变更协议。补充合同或变更协议作为本合同的一部分，与本合同具有同等效力。</w:t>
      </w:r>
    </w:p>
    <w:p w14:paraId="4EAA32B4">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.2 除了双方签署书面修改或变更协议，并成为本合同不可分割的一部分的情况之外，本合同的条款不得有任何变化或修改。</w:t>
      </w:r>
    </w:p>
    <w:p w14:paraId="148E0132">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rPr>
        <w:t>.3 由于采购人项目统一规划等原因导致本项目停止部分服务的，甲方将与乙方协商处理。</w:t>
      </w:r>
    </w:p>
    <w:p w14:paraId="6F331A19">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6</w:t>
      </w:r>
      <w:r>
        <w:rPr>
          <w:rFonts w:hint="default" w:ascii="Times New Roman" w:hAnsi="Times New Roman" w:cs="Times New Roman"/>
          <w:b/>
          <w:color w:val="auto"/>
          <w:sz w:val="21"/>
          <w:szCs w:val="21"/>
          <w:highlight w:val="none"/>
        </w:rPr>
        <w:t>. 转让和分包</w:t>
      </w:r>
    </w:p>
    <w:p w14:paraId="6E18F37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6</w:t>
      </w:r>
      <w:r>
        <w:rPr>
          <w:rFonts w:hint="default" w:ascii="Times New Roman" w:hAnsi="Times New Roman" w:cs="Times New Roman"/>
          <w:color w:val="auto"/>
          <w:sz w:val="21"/>
          <w:szCs w:val="21"/>
          <w:highlight w:val="none"/>
        </w:rPr>
        <w:t>.1 除甲方事先书面同意外，乙方不得部分转让或全部转让其应履行的合同义务。</w:t>
      </w:r>
    </w:p>
    <w:p w14:paraId="29F34D7A">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 xml:space="preserve">16.2 </w:t>
      </w:r>
      <w:r>
        <w:rPr>
          <w:rFonts w:hint="default" w:ascii="Times New Roman" w:hAnsi="Times New Roman" w:eastAsia="宋体" w:cs="Times New Roman"/>
          <w:color w:val="auto"/>
          <w:sz w:val="21"/>
          <w:szCs w:val="21"/>
          <w:highlight w:val="none"/>
          <w:lang w:val="en-US" w:eastAsia="zh-CN"/>
        </w:rPr>
        <w:t>未经甲方同意，乙方不得采取分包方式履行合同。经甲方同意分包履行合同的，乙方就采购项目及分包项目向甲方负责，分包供应商就分包项目承担责任。</w:t>
      </w:r>
    </w:p>
    <w:p w14:paraId="1E77B477">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1</w:t>
      </w:r>
      <w:r>
        <w:rPr>
          <w:rFonts w:hint="default" w:ascii="Times New Roman" w:hAnsi="Times New Roman" w:cs="Times New Roman"/>
          <w:b/>
          <w:color w:val="auto"/>
          <w:sz w:val="21"/>
          <w:szCs w:val="21"/>
          <w:highlight w:val="none"/>
          <w:lang w:val="en-US" w:eastAsia="zh-CN"/>
        </w:rPr>
        <w:t>7</w:t>
      </w:r>
      <w:r>
        <w:rPr>
          <w:rFonts w:hint="default" w:ascii="Times New Roman" w:hAnsi="Times New Roman" w:cs="Times New Roman"/>
          <w:b/>
          <w:color w:val="auto"/>
          <w:sz w:val="21"/>
          <w:szCs w:val="21"/>
          <w:highlight w:val="none"/>
        </w:rPr>
        <w:t>. 合同语言</w:t>
      </w:r>
    </w:p>
    <w:p w14:paraId="06171171">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.1 本合同语言为中文。</w:t>
      </w:r>
    </w:p>
    <w:p w14:paraId="2B07FBE3">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color w:val="auto"/>
          <w:sz w:val="21"/>
          <w:szCs w:val="21"/>
          <w:highlight w:val="none"/>
          <w:lang w:val="en-US" w:eastAsia="zh-CN"/>
        </w:rPr>
        <w:t>7</w:t>
      </w:r>
      <w:r>
        <w:rPr>
          <w:rFonts w:hint="default" w:ascii="Times New Roman" w:hAnsi="Times New Roman" w:cs="Times New Roman"/>
          <w:color w:val="auto"/>
          <w:sz w:val="21"/>
          <w:szCs w:val="21"/>
          <w:highlight w:val="none"/>
        </w:rPr>
        <w:t>.2 双方交换的与合同有关的信件和其他文件应用合同语言书写。</w:t>
      </w:r>
    </w:p>
    <w:p w14:paraId="41A01532">
      <w:pPr>
        <w:keepNext w:val="0"/>
        <w:keepLines w:val="0"/>
        <w:pageBreakBefore w:val="0"/>
        <w:widowControl w:val="0"/>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18</w:t>
      </w:r>
      <w:r>
        <w:rPr>
          <w:rFonts w:hint="default" w:ascii="Times New Roman" w:hAnsi="Times New Roman" w:cs="Times New Roman"/>
          <w:b/>
          <w:color w:val="auto"/>
          <w:sz w:val="21"/>
          <w:szCs w:val="21"/>
          <w:highlight w:val="none"/>
        </w:rPr>
        <w:t>. 适用法律</w:t>
      </w:r>
    </w:p>
    <w:p w14:paraId="35CC94AA">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rPr>
        <w:t>.1 本合同按照中华人民共和国现行法律进行解释。</w:t>
      </w:r>
    </w:p>
    <w:p w14:paraId="3FF032F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18</w:t>
      </w:r>
      <w:r>
        <w:rPr>
          <w:rFonts w:hint="default" w:ascii="Times New Roman" w:hAnsi="Times New Roman" w:cs="Times New Roman"/>
          <w:color w:val="auto"/>
          <w:sz w:val="21"/>
          <w:szCs w:val="21"/>
          <w:highlight w:val="none"/>
        </w:rPr>
        <w:t>.2 本合同的履行、违约责任和解决争议的方法等适用《中华人民共和国</w:t>
      </w:r>
      <w:r>
        <w:rPr>
          <w:rFonts w:hint="default" w:ascii="Times New Roman" w:hAnsi="Times New Roman" w:cs="Times New Roman"/>
          <w:color w:val="auto"/>
          <w:sz w:val="21"/>
          <w:szCs w:val="21"/>
          <w:highlight w:val="none"/>
          <w:lang w:eastAsia="zh-CN"/>
        </w:rPr>
        <w:t>民法典（合同编）</w:t>
      </w:r>
      <w:r>
        <w:rPr>
          <w:rFonts w:hint="default" w:ascii="Times New Roman" w:hAnsi="Times New Roman" w:cs="Times New Roman"/>
          <w:color w:val="auto"/>
          <w:sz w:val="21"/>
          <w:szCs w:val="21"/>
          <w:highlight w:val="none"/>
        </w:rPr>
        <w:t>》。</w:t>
      </w:r>
    </w:p>
    <w:p w14:paraId="2AE5100A">
      <w:pPr>
        <w:keepNext w:val="0"/>
        <w:keepLines w:val="0"/>
        <w:pageBreakBefore w:val="0"/>
        <w:widowControl w:val="0"/>
        <w:kinsoku/>
        <w:wordWrap/>
        <w:overflowPunct/>
        <w:topLinePunct/>
        <w:autoSpaceDE w:val="0"/>
        <w:autoSpaceDN w:val="0"/>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19</w:t>
      </w:r>
      <w:r>
        <w:rPr>
          <w:rFonts w:hint="default" w:ascii="Times New Roman" w:hAnsi="Times New Roman" w:cs="Times New Roman"/>
          <w:b/>
          <w:color w:val="auto"/>
          <w:sz w:val="21"/>
          <w:szCs w:val="21"/>
          <w:highlight w:val="none"/>
        </w:rPr>
        <w:t>. 税费</w:t>
      </w:r>
    </w:p>
    <w:p w14:paraId="5DBEFF1E">
      <w:pPr>
        <w:keepNext w:val="0"/>
        <w:keepLines w:val="0"/>
        <w:pageBreakBefore w:val="0"/>
        <w:widowControl w:val="0"/>
        <w:kinsoku/>
        <w:wordWrap/>
        <w:overflowPunct/>
        <w:topLinePunct/>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19</w:t>
      </w:r>
      <w:r>
        <w:rPr>
          <w:rFonts w:hint="default" w:ascii="Times New Roman" w:hAnsi="Times New Roman" w:cs="Times New Roman"/>
          <w:color w:val="auto"/>
          <w:sz w:val="21"/>
          <w:szCs w:val="21"/>
          <w:highlight w:val="none"/>
        </w:rPr>
        <w:t>.1 乙方应依法缴纳的合同服务相关税费，均已包含于合同总金额中，甲方不再另行支付</w:t>
      </w:r>
      <w:r>
        <w:rPr>
          <w:rFonts w:hint="default" w:ascii="Times New Roman" w:hAnsi="Times New Roman" w:cs="Times New Roman"/>
          <w:color w:val="auto"/>
          <w:sz w:val="21"/>
          <w:szCs w:val="21"/>
          <w:highlight w:val="none"/>
          <w:lang w:eastAsia="zh-CN"/>
        </w:rPr>
        <w:t>。</w:t>
      </w:r>
    </w:p>
    <w:p w14:paraId="4A5F69A5">
      <w:pPr>
        <w:keepNext w:val="0"/>
        <w:keepLines w:val="0"/>
        <w:pageBreakBefore w:val="0"/>
        <w:widowControl w:val="0"/>
        <w:tabs>
          <w:tab w:val="left" w:pos="700"/>
        </w:tabs>
        <w:kinsoku/>
        <w:wordWrap/>
        <w:overflowPunct/>
        <w:bidi w:val="0"/>
        <w:adjustRightInd/>
        <w:snapToGrid/>
        <w:spacing w:line="360" w:lineRule="auto"/>
        <w:ind w:firstLine="422" w:firstLineChars="200"/>
        <w:textAlignment w:val="auto"/>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lang w:val="en-US" w:eastAsia="zh-CN"/>
        </w:rPr>
        <w:t>20</w:t>
      </w:r>
      <w:r>
        <w:rPr>
          <w:rFonts w:hint="default" w:ascii="Times New Roman" w:hAnsi="Times New Roman" w:cs="Times New Roman"/>
          <w:b/>
          <w:color w:val="auto"/>
          <w:sz w:val="21"/>
          <w:szCs w:val="21"/>
          <w:highlight w:val="none"/>
        </w:rPr>
        <w:t>. 合同生效</w:t>
      </w:r>
    </w:p>
    <w:p w14:paraId="4DBA5A67">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val="en-US" w:eastAsia="zh-CN"/>
        </w:rPr>
        <w:t>20</w:t>
      </w:r>
      <w:r>
        <w:rPr>
          <w:rFonts w:hint="default" w:ascii="Times New Roman" w:hAnsi="Times New Roman" w:cs="Times New Roman"/>
          <w:color w:val="auto"/>
          <w:sz w:val="21"/>
          <w:szCs w:val="21"/>
          <w:highlight w:val="none"/>
        </w:rPr>
        <w:t>.1 本合同一式</w:t>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份，由甲乙双方法定代表人或被授权人签字并盖章后生效</w:t>
      </w:r>
      <w:r>
        <w:rPr>
          <w:rFonts w:hint="default" w:ascii="Times New Roman" w:hAnsi="Times New Roman" w:cs="Times New Roman"/>
          <w:color w:val="auto"/>
          <w:sz w:val="21"/>
          <w:szCs w:val="21"/>
          <w:highlight w:val="none"/>
          <w:lang w:eastAsia="zh-CN"/>
        </w:rPr>
        <w:t>。</w:t>
      </w:r>
    </w:p>
    <w:p w14:paraId="78F7BBC5">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p>
    <w:p w14:paraId="474D162E">
      <w:pPr>
        <w:keepNext w:val="0"/>
        <w:keepLines w:val="0"/>
        <w:pageBreakBefore w:val="0"/>
        <w:widowControl w:val="0"/>
        <w:kinsoku/>
        <w:wordWrap/>
        <w:overflowPunct/>
        <w:bidi w:val="0"/>
        <w:adjustRightInd/>
        <w:snapToGrid/>
        <w:spacing w:line="360" w:lineRule="auto"/>
        <w:ind w:firstLine="420" w:firstLineChars="200"/>
        <w:textAlignment w:val="auto"/>
        <w:rPr>
          <w:rFonts w:hint="default" w:ascii="Times New Roman" w:hAnsi="Times New Roman" w:cs="Times New Roman"/>
          <w:color w:val="auto"/>
          <w:sz w:val="21"/>
          <w:szCs w:val="21"/>
          <w:highlight w:val="none"/>
          <w:lang w:eastAsia="zh-CN"/>
        </w:rPr>
      </w:pPr>
    </w:p>
    <w:p w14:paraId="1BEA113E">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br w:type="page"/>
      </w:r>
    </w:p>
    <w:p w14:paraId="167610FD">
      <w:pPr>
        <w:ind w:firstLine="480" w:firstLineChars="200"/>
        <w:rPr>
          <w:rFonts w:hint="eastAsia" w:ascii="宋体" w:hAnsi="宋体" w:cs="宋体"/>
          <w:color w:val="auto"/>
          <w:sz w:val="24"/>
          <w:highlight w:val="none"/>
          <w:lang w:eastAsia="zh-CN"/>
        </w:rPr>
      </w:pPr>
    </w:p>
    <w:p w14:paraId="73865737">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三</w:t>
      </w:r>
      <w:r>
        <w:rPr>
          <w:rFonts w:hint="eastAsia" w:ascii="宋体" w:hAnsi="宋体" w:cs="宋体"/>
          <w:b/>
          <w:color w:val="auto"/>
          <w:sz w:val="24"/>
          <w:highlight w:val="none"/>
          <w:lang w:val="en-US" w:eastAsia="zh-CN"/>
        </w:rPr>
        <w:t xml:space="preserve">   招标（采购）文件及投标（响应）文件</w:t>
      </w:r>
      <w:r>
        <w:rPr>
          <w:rFonts w:hint="eastAsia" w:ascii="宋体" w:hAnsi="宋体" w:cs="宋体"/>
          <w:b/>
          <w:color w:val="auto"/>
          <w:sz w:val="24"/>
          <w:highlight w:val="none"/>
          <w:lang w:eastAsia="zh-CN"/>
        </w:rPr>
        <w:t>（如需要，可另附）</w:t>
      </w:r>
    </w:p>
    <w:p w14:paraId="0622CE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color w:val="auto"/>
          <w:sz w:val="24"/>
          <w:highlight w:val="none"/>
          <w:lang w:eastAsia="zh-CN"/>
        </w:rPr>
      </w:pPr>
      <w:r>
        <w:rPr>
          <w:rFonts w:hint="eastAsia" w:ascii="宋体" w:hAnsi="宋体" w:cs="宋体"/>
          <w:color w:val="auto"/>
          <w:sz w:val="24"/>
          <w:highlight w:val="none"/>
        </w:rPr>
        <w:br w:type="page"/>
      </w:r>
      <w:r>
        <w:rPr>
          <w:rFonts w:hint="eastAsia" w:ascii="宋体" w:hAnsi="宋体" w:cs="宋体"/>
          <w:b/>
          <w:color w:val="auto"/>
          <w:sz w:val="24"/>
          <w:highlight w:val="none"/>
          <w:lang w:eastAsia="zh-CN"/>
        </w:rPr>
        <w:t>四</w:t>
      </w:r>
      <w:r>
        <w:rPr>
          <w:rFonts w:hint="eastAsia" w:ascii="宋体" w:hAnsi="宋体" w:cs="宋体"/>
          <w:b/>
          <w:color w:val="auto"/>
          <w:sz w:val="24"/>
          <w:highlight w:val="none"/>
          <w:lang w:val="en-US" w:eastAsia="zh-CN"/>
        </w:rPr>
        <w:t xml:space="preserve">   </w:t>
      </w:r>
      <w:r>
        <w:rPr>
          <w:rFonts w:hint="eastAsia" w:ascii="宋体" w:hAnsi="宋体" w:cs="宋体"/>
          <w:b/>
          <w:color w:val="auto"/>
          <w:sz w:val="24"/>
          <w:highlight w:val="none"/>
          <w:lang w:eastAsia="zh-CN"/>
        </w:rPr>
        <w:t>报价表（总报价表和分项报价表，如有需要可另附）</w:t>
      </w:r>
    </w:p>
    <w:p w14:paraId="3C39B756">
      <w:pPr>
        <w:rPr>
          <w:color w:val="auto"/>
          <w:highlight w:val="none"/>
        </w:rPr>
      </w:pPr>
    </w:p>
    <w:p w14:paraId="6F96DD32">
      <w:pPr>
        <w:rPr>
          <w:color w:val="auto"/>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656649">
      <w:pPr>
        <w:bidi w:val="0"/>
        <w:jc w:val="center"/>
        <w:rPr>
          <w:rFonts w:hint="eastAsia" w:ascii="华文中宋" w:hAnsi="华文中宋" w:eastAsia="华文中宋" w:cs="华文中宋"/>
          <w:color w:val="auto"/>
          <w:sz w:val="28"/>
          <w:szCs w:val="28"/>
          <w:highlight w:val="none"/>
        </w:rPr>
      </w:pPr>
      <w:bookmarkStart w:id="34" w:name="_Toc132880284"/>
      <w:r>
        <w:rPr>
          <w:rFonts w:hint="eastAsia" w:ascii="华文中宋" w:hAnsi="华文中宋" w:eastAsia="华文中宋" w:cs="华文中宋"/>
          <w:color w:val="auto"/>
          <w:sz w:val="28"/>
          <w:szCs w:val="28"/>
          <w:highlight w:val="none"/>
        </w:rPr>
        <w:t>第五章　投标文件格式</w:t>
      </w:r>
      <w:bookmarkEnd w:id="34"/>
    </w:p>
    <w:p w14:paraId="3B9A3546">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投标人必须按下列文本格式，如实提供具有法律效力的资格证明文件和真实有效的其他文件资料，任何不按下列文本格式提供或有实质性变更将由投标人承担风险。</w:t>
      </w:r>
    </w:p>
    <w:p w14:paraId="7B42988E">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1.投标人应严格按照本章规定填写和提交全部格式文件以及其他有关资料，混乱的编排导致投标文件被误读或查找不到，后果由投标人承担。</w:t>
      </w:r>
    </w:p>
    <w:p w14:paraId="123F6017">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2.所附表格中要求回答的全部问题和信息都必须正面回答。</w:t>
      </w:r>
    </w:p>
    <w:p w14:paraId="0749C27E">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3.资格声明文件的签字人应保证全部声明和问题的回答是真实的和准确的。</w:t>
      </w:r>
    </w:p>
    <w:p w14:paraId="2E92E816">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4.评标委员会将应用投标人提交的资料并根据自己的判断，决定投标人履行合同的合格性及能力。</w:t>
      </w:r>
    </w:p>
    <w:p w14:paraId="0948B2DB">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5.全部文件应按投标人须知中规定的语言提交。</w:t>
      </w:r>
    </w:p>
    <w:p w14:paraId="6BE98E18">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6.以下格式文件为要求填写内容的固定格式，投标人不得擅自修改格式，其他未提供格式的文件和资料由投标人自行设计编制格式填写。</w:t>
      </w:r>
    </w:p>
    <w:p w14:paraId="45363FDD">
      <w:pPr>
        <w:adjustRightInd w:val="0"/>
        <w:snapToGrid w:val="0"/>
        <w:spacing w:beforeLines="20" w:after="4" w:line="360" w:lineRule="auto"/>
        <w:ind w:firstLine="422" w:firstLineChars="200"/>
        <w:jc w:val="center"/>
        <w:rPr>
          <w:b/>
          <w:bCs/>
          <w:color w:val="auto"/>
          <w:highlight w:val="none"/>
        </w:rPr>
      </w:pPr>
    </w:p>
    <w:p w14:paraId="0BD87026">
      <w:pPr>
        <w:ind w:firstLine="422" w:firstLineChars="200"/>
        <w:jc w:val="center"/>
        <w:rPr>
          <w:b/>
          <w:bCs/>
          <w:color w:val="auto"/>
          <w:highlight w:val="none"/>
        </w:rPr>
      </w:pPr>
    </w:p>
    <w:p w14:paraId="58D49C28">
      <w:pPr>
        <w:rPr>
          <w:color w:val="auto"/>
          <w:highlight w:val="none"/>
        </w:rPr>
      </w:pPr>
    </w:p>
    <w:p w14:paraId="6A518902">
      <w:pPr>
        <w:rPr>
          <w:b/>
          <w:bCs/>
          <w:color w:val="auto"/>
          <w:highlight w:val="none"/>
        </w:rPr>
      </w:pPr>
    </w:p>
    <w:p w14:paraId="013C4CB8">
      <w:pPr>
        <w:adjustRightInd w:val="0"/>
        <w:snapToGrid w:val="0"/>
        <w:spacing w:after="0" w:line="360" w:lineRule="auto"/>
        <w:jc w:val="center"/>
        <w:rPr>
          <w:b/>
          <w:bCs/>
          <w:color w:val="auto"/>
          <w:highlight w:val="none"/>
        </w:rPr>
      </w:pPr>
      <w:r>
        <w:rPr>
          <w:rFonts w:hint="eastAsia"/>
          <w:b/>
          <w:bCs/>
          <w:color w:val="auto"/>
          <w:highlight w:val="none"/>
        </w:rPr>
        <w:br w:type="page"/>
      </w:r>
    </w:p>
    <w:p w14:paraId="07C7DAF3">
      <w:pPr>
        <w:spacing w:line="600" w:lineRule="auto"/>
        <w:jc w:val="center"/>
        <w:rPr>
          <w:rFonts w:ascii="宋体" w:hAnsi="宋体"/>
          <w:b/>
          <w:color w:val="auto"/>
          <w:kern w:val="0"/>
          <w:sz w:val="44"/>
          <w:szCs w:val="44"/>
          <w:highlight w:val="none"/>
        </w:rPr>
      </w:pPr>
    </w:p>
    <w:p w14:paraId="720C7014">
      <w:pPr>
        <w:spacing w:line="600" w:lineRule="auto"/>
        <w:jc w:val="center"/>
        <w:rPr>
          <w:rFonts w:hint="eastAsia" w:ascii="华文中宋" w:hAnsi="华文中宋" w:eastAsia="华文中宋" w:cs="华文中宋"/>
          <w:b w:val="0"/>
          <w:bCs/>
          <w:color w:val="auto"/>
          <w:kern w:val="0"/>
          <w:sz w:val="32"/>
          <w:szCs w:val="32"/>
          <w:highlight w:val="none"/>
        </w:rPr>
      </w:pPr>
    </w:p>
    <w:p w14:paraId="773CCA2A">
      <w:pPr>
        <w:spacing w:line="600" w:lineRule="auto"/>
        <w:jc w:val="center"/>
        <w:rPr>
          <w:rFonts w:hint="eastAsia" w:ascii="华文中宋" w:hAnsi="华文中宋" w:eastAsia="华文中宋" w:cs="华文中宋"/>
          <w:b w:val="0"/>
          <w:bCs/>
          <w:color w:val="auto"/>
          <w:kern w:val="0"/>
          <w:sz w:val="32"/>
          <w:szCs w:val="32"/>
          <w:highlight w:val="none"/>
        </w:rPr>
      </w:pPr>
      <w:r>
        <w:rPr>
          <w:rFonts w:hint="eastAsia" w:ascii="华文中宋" w:hAnsi="华文中宋" w:eastAsia="华文中宋" w:cs="华文中宋"/>
          <w:b w:val="0"/>
          <w:bCs/>
          <w:color w:val="auto"/>
          <w:kern w:val="0"/>
          <w:sz w:val="32"/>
          <w:szCs w:val="32"/>
          <w:highlight w:val="none"/>
        </w:rPr>
        <w:t>投  标  文  件</w:t>
      </w:r>
    </w:p>
    <w:p w14:paraId="75F4A57C">
      <w:pPr>
        <w:spacing w:line="600" w:lineRule="auto"/>
        <w:jc w:val="center"/>
        <w:rPr>
          <w:rFonts w:hint="eastAsia" w:ascii="华文中宋" w:hAnsi="华文中宋" w:eastAsia="华文中宋" w:cs="华文中宋"/>
          <w:b w:val="0"/>
          <w:bCs/>
          <w:color w:val="auto"/>
          <w:kern w:val="0"/>
          <w:sz w:val="32"/>
          <w:szCs w:val="32"/>
          <w:highlight w:val="none"/>
        </w:rPr>
      </w:pPr>
      <w:r>
        <w:rPr>
          <w:rFonts w:hint="eastAsia" w:ascii="华文中宋" w:hAnsi="华文中宋" w:eastAsia="华文中宋" w:cs="华文中宋"/>
          <w:b w:val="0"/>
          <w:bCs/>
          <w:color w:val="auto"/>
          <w:kern w:val="0"/>
          <w:sz w:val="32"/>
          <w:szCs w:val="32"/>
          <w:highlight w:val="none"/>
        </w:rPr>
        <w:t>商务部分</w:t>
      </w:r>
    </w:p>
    <w:p w14:paraId="346754B0">
      <w:pPr>
        <w:spacing w:line="360" w:lineRule="auto"/>
        <w:ind w:firstLine="640" w:firstLineChars="200"/>
        <w:jc w:val="center"/>
        <w:rPr>
          <w:rFonts w:ascii="宋体" w:hAnsi="宋体"/>
          <w:color w:val="auto"/>
          <w:kern w:val="0"/>
          <w:sz w:val="32"/>
          <w:szCs w:val="32"/>
          <w:highlight w:val="none"/>
        </w:rPr>
      </w:pPr>
    </w:p>
    <w:p w14:paraId="17BA0454">
      <w:pPr>
        <w:spacing w:line="360" w:lineRule="auto"/>
        <w:jc w:val="center"/>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（填写正本或副本）</w:t>
      </w:r>
    </w:p>
    <w:p w14:paraId="70227394">
      <w:pPr>
        <w:spacing w:line="360" w:lineRule="auto"/>
        <w:ind w:firstLine="480" w:firstLineChars="200"/>
        <w:jc w:val="center"/>
        <w:rPr>
          <w:rFonts w:hint="eastAsia" w:ascii="方正小标宋简体" w:hAnsi="方正小标宋简体" w:eastAsia="方正小标宋简体" w:cs="方正小标宋简体"/>
          <w:b w:val="0"/>
          <w:bCs/>
          <w:color w:val="auto"/>
          <w:kern w:val="0"/>
          <w:sz w:val="24"/>
          <w:szCs w:val="24"/>
          <w:highlight w:val="none"/>
        </w:rPr>
      </w:pPr>
    </w:p>
    <w:p w14:paraId="14F1DD91">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项目名称：</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478ED854">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项目编号：</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1D8E0ADA">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所投采购包：</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54998E9E">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方正小标宋简体" w:hAnsi="方正小标宋简体" w:eastAsia="方正小标宋简体" w:cs="方正小标宋简体"/>
          <w:b w:val="0"/>
          <w:bCs/>
          <w:color w:val="auto"/>
          <w:kern w:val="0"/>
          <w:sz w:val="24"/>
          <w:szCs w:val="24"/>
          <w:highlight w:val="none"/>
        </w:rPr>
      </w:pPr>
    </w:p>
    <w:p w14:paraId="166E5CF7">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投标人：</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61A77021">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日  期：</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3DC075A1">
      <w:pPr>
        <w:widowControl/>
        <w:spacing w:after="0" w:line="240" w:lineRule="auto"/>
        <w:jc w:val="left"/>
        <w:rPr>
          <w:rFonts w:ascii="宋体" w:hAnsi="宋体" w:cs="宋体"/>
          <w:b/>
          <w:bCs/>
          <w:color w:val="auto"/>
          <w:sz w:val="36"/>
          <w:szCs w:val="36"/>
          <w:highlight w:val="none"/>
        </w:rPr>
      </w:pPr>
      <w:r>
        <w:rPr>
          <w:rFonts w:ascii="宋体" w:hAnsi="宋体" w:cs="宋体"/>
          <w:b/>
          <w:bCs/>
          <w:color w:val="auto"/>
          <w:sz w:val="36"/>
          <w:szCs w:val="36"/>
          <w:highlight w:val="none"/>
        </w:rPr>
        <w:br w:type="page"/>
      </w:r>
    </w:p>
    <w:p w14:paraId="751468DD">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格式1  授权委托书</w:t>
      </w:r>
    </w:p>
    <w:p w14:paraId="737D51E5">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1-1法定代表人授权委托书</w:t>
      </w:r>
    </w:p>
    <w:p w14:paraId="3112A0C7">
      <w:pPr>
        <w:adjustRightInd w:val="0"/>
        <w:snapToGrid w:val="0"/>
        <w:spacing w:after="0" w:line="360" w:lineRule="auto"/>
        <w:jc w:val="center"/>
        <w:rPr>
          <w:rFonts w:ascii="宋体" w:hAnsi="宋体" w:cs="宋体"/>
          <w:b/>
          <w:bCs/>
          <w:color w:val="auto"/>
          <w:sz w:val="24"/>
          <w:highlight w:val="none"/>
        </w:rPr>
      </w:pPr>
      <w:r>
        <w:rPr>
          <w:rFonts w:ascii="宋体" w:hAnsi="宋体" w:cs="宋体"/>
          <w:b w:val="0"/>
          <w:bCs w:val="0"/>
          <w:color w:val="auto"/>
          <w:sz w:val="21"/>
          <w:szCs w:val="21"/>
          <w:highlight w:val="none"/>
        </w:rPr>
        <w:t>(</w:t>
      </w:r>
      <w:r>
        <w:rPr>
          <w:rFonts w:hint="eastAsia" w:ascii="宋体" w:hAnsi="宋体" w:cs="宋体"/>
          <w:b w:val="0"/>
          <w:bCs w:val="0"/>
          <w:color w:val="auto"/>
          <w:sz w:val="21"/>
          <w:szCs w:val="21"/>
          <w:highlight w:val="none"/>
        </w:rPr>
        <w:t>适用于授权代表参加投标</w:t>
      </w:r>
      <w:r>
        <w:rPr>
          <w:rFonts w:ascii="宋体" w:hAnsi="宋体" w:cs="宋体"/>
          <w:b w:val="0"/>
          <w:bCs w:val="0"/>
          <w:color w:val="auto"/>
          <w:sz w:val="21"/>
          <w:szCs w:val="21"/>
          <w:highlight w:val="none"/>
        </w:rPr>
        <w:t>)</w:t>
      </w:r>
    </w:p>
    <w:p w14:paraId="6E8E36A3">
      <w:pPr>
        <w:pStyle w:val="10"/>
        <w:rPr>
          <w:rFonts w:ascii="Times New Roman" w:hAnsi="Times New Roman" w:eastAsia="仿宋_GB2312"/>
          <w:color w:val="auto"/>
          <w:highlight w:val="none"/>
        </w:rPr>
      </w:pPr>
    </w:p>
    <w:p w14:paraId="06BD222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t>致____________(采购人或采购代理机构)：</w:t>
      </w:r>
    </w:p>
    <w:p w14:paraId="2430EAD7">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本授权书声明：注册于___________（投标人住址）的___________（投标人名称）法定代表人_______（姓名、职务）代表本公司授权_______（被授权投标代表姓名、职务）为本公司的合法投标代表，就贵方组织的《</w:t>
      </w:r>
      <w:r>
        <w:rPr>
          <w:rFonts w:hint="eastAsia" w:ascii="宋体" w:hAnsi="宋体" w:cs="宋体"/>
          <w:color w:val="auto"/>
          <w:sz w:val="21"/>
          <w:szCs w:val="21"/>
          <w:highlight w:val="none"/>
          <w:u w:val="single"/>
        </w:rPr>
        <w:t xml:space="preserve">          项目</w:t>
      </w:r>
      <w:r>
        <w:rPr>
          <w:rFonts w:hint="eastAsia" w:ascii="宋体" w:hAnsi="宋体" w:cs="宋体"/>
          <w:color w:val="auto"/>
          <w:sz w:val="21"/>
          <w:szCs w:val="21"/>
          <w:highlight w:val="none"/>
        </w:rPr>
        <w:t>》（项目编号：_______）投标、合同的执行，以本公司名义处理一切与之有关的事务。</w:t>
      </w:r>
    </w:p>
    <w:p w14:paraId="11F9B88B">
      <w:pPr>
        <w:keepNext w:val="0"/>
        <w:keepLines w:val="0"/>
        <w:pageBreakBefore w:val="0"/>
        <w:widowControl w:val="0"/>
        <w:kinsoku/>
        <w:wordWrap/>
        <w:overflowPunct/>
        <w:topLinePunct/>
        <w:autoSpaceDE w:val="0"/>
        <w:autoSpaceDN w:val="0"/>
        <w:bidi w:val="0"/>
        <w:adjustRightInd w:val="0"/>
        <w:snapToGrid w:val="0"/>
        <w:spacing w:after="0"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本授权书于______年______月_____日生效，特此声明。</w:t>
      </w:r>
    </w:p>
    <w:p w14:paraId="53D72045">
      <w:pPr>
        <w:pStyle w:val="10"/>
        <w:keepNext w:val="0"/>
        <w:keepLines w:val="0"/>
        <w:pageBreakBefore w:val="0"/>
        <w:widowControl w:val="0"/>
        <w:kinsoku/>
        <w:wordWrap/>
        <w:overflowPunct/>
        <w:bidi w:val="0"/>
        <w:adjustRightInd w:val="0"/>
        <w:snapToGrid w:val="0"/>
        <w:spacing w:line="360" w:lineRule="auto"/>
        <w:ind w:firstLine="420" w:firstLineChars="200"/>
        <w:textAlignment w:val="auto"/>
        <w:rPr>
          <w:rFonts w:hAnsi="宋体" w:cs="宋体"/>
          <w:color w:val="auto"/>
          <w:sz w:val="21"/>
          <w:szCs w:val="21"/>
          <w:highlight w:val="none"/>
        </w:rPr>
      </w:pPr>
      <w:r>
        <w:rPr>
          <w:rFonts w:hint="eastAsia" w:hAnsi="宋体" w:cs="宋体"/>
          <w:color w:val="auto"/>
          <w:sz w:val="21"/>
          <w:szCs w:val="21"/>
          <w:highlight w:val="none"/>
        </w:rPr>
        <w:t>被授权投标代表无转委托权。</w:t>
      </w:r>
    </w:p>
    <w:p w14:paraId="22CCF860">
      <w:pPr>
        <w:pStyle w:val="10"/>
        <w:adjustRightInd w:val="0"/>
        <w:snapToGrid w:val="0"/>
        <w:spacing w:line="360" w:lineRule="auto"/>
        <w:rPr>
          <w:rFonts w:hAnsi="宋体" w:cs="宋体"/>
          <w:color w:val="auto"/>
          <w:highlight w:val="none"/>
        </w:rPr>
      </w:pPr>
    </w:p>
    <w:tbl>
      <w:tblPr>
        <w:tblStyle w:val="15"/>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4BEE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1486E5C8">
            <w:pPr>
              <w:pStyle w:val="10"/>
              <w:adjustRightInd w:val="0"/>
              <w:snapToGrid w:val="0"/>
              <w:spacing w:line="360" w:lineRule="auto"/>
              <w:jc w:val="center"/>
              <w:rPr>
                <w:rFonts w:hAnsi="宋体" w:cs="宋体"/>
                <w:color w:val="auto"/>
                <w:highlight w:val="none"/>
              </w:rPr>
            </w:pPr>
          </w:p>
          <w:p w14:paraId="1DBF7C9C">
            <w:pPr>
              <w:pStyle w:val="10"/>
              <w:adjustRightInd w:val="0"/>
              <w:snapToGrid w:val="0"/>
              <w:spacing w:line="360" w:lineRule="auto"/>
              <w:jc w:val="center"/>
              <w:rPr>
                <w:rFonts w:hAnsi="宋体" w:cs="宋体"/>
                <w:color w:val="auto"/>
                <w:highlight w:val="none"/>
              </w:rPr>
            </w:pPr>
          </w:p>
          <w:p w14:paraId="4AC078A9">
            <w:pPr>
              <w:pStyle w:val="10"/>
              <w:adjustRightInd w:val="0"/>
              <w:snapToGrid w:val="0"/>
              <w:spacing w:line="360" w:lineRule="auto"/>
              <w:jc w:val="center"/>
              <w:rPr>
                <w:rFonts w:hAnsi="宋体" w:cs="宋体"/>
                <w:color w:val="auto"/>
                <w:highlight w:val="none"/>
              </w:rPr>
            </w:pPr>
          </w:p>
          <w:p w14:paraId="5876F41E">
            <w:pPr>
              <w:pStyle w:val="10"/>
              <w:adjustRightInd w:val="0"/>
              <w:snapToGrid w:val="0"/>
              <w:spacing w:line="360" w:lineRule="auto"/>
              <w:jc w:val="center"/>
              <w:rPr>
                <w:rFonts w:hAnsi="宋体" w:cs="宋体"/>
                <w:color w:val="auto"/>
                <w:highlight w:val="none"/>
              </w:rPr>
            </w:pPr>
            <w:r>
              <w:rPr>
                <w:rFonts w:hint="eastAsia" w:hAnsi="宋体" w:cs="宋体"/>
                <w:b/>
                <w:color w:val="auto"/>
                <w:highlight w:val="none"/>
              </w:rPr>
              <w:t>被授权投标代表</w:t>
            </w:r>
            <w:r>
              <w:rPr>
                <w:rFonts w:hint="eastAsia" w:hAnsi="宋体" w:cs="宋体"/>
                <w:color w:val="auto"/>
                <w:highlight w:val="none"/>
              </w:rPr>
              <w:t>身份证复印件</w:t>
            </w:r>
          </w:p>
          <w:p w14:paraId="58C27DE4">
            <w:pPr>
              <w:pStyle w:val="10"/>
              <w:adjustRightInd w:val="0"/>
              <w:snapToGrid w:val="0"/>
              <w:spacing w:line="360" w:lineRule="auto"/>
              <w:jc w:val="center"/>
              <w:rPr>
                <w:rFonts w:hAnsi="宋体" w:cs="宋体"/>
                <w:color w:val="auto"/>
                <w:highlight w:val="none"/>
              </w:rPr>
            </w:pPr>
          </w:p>
          <w:p w14:paraId="7A26B1E2">
            <w:pPr>
              <w:pStyle w:val="10"/>
              <w:adjustRightInd w:val="0"/>
              <w:snapToGrid w:val="0"/>
              <w:spacing w:line="360" w:lineRule="auto"/>
              <w:jc w:val="center"/>
              <w:rPr>
                <w:rFonts w:hAnsi="宋体" w:cs="宋体"/>
                <w:color w:val="auto"/>
                <w:highlight w:val="none"/>
              </w:rPr>
            </w:pPr>
          </w:p>
          <w:p w14:paraId="5602F625">
            <w:pPr>
              <w:pStyle w:val="10"/>
              <w:adjustRightInd w:val="0"/>
              <w:snapToGrid w:val="0"/>
              <w:spacing w:line="360" w:lineRule="auto"/>
              <w:jc w:val="center"/>
              <w:rPr>
                <w:rFonts w:hAnsi="宋体" w:cs="宋体"/>
                <w:color w:val="auto"/>
                <w:highlight w:val="none"/>
              </w:rPr>
            </w:pPr>
          </w:p>
        </w:tc>
      </w:tr>
    </w:tbl>
    <w:p w14:paraId="2BCCDBF3">
      <w:pPr>
        <w:pStyle w:val="10"/>
        <w:adjustRightInd w:val="0"/>
        <w:snapToGrid w:val="0"/>
        <w:spacing w:line="360" w:lineRule="auto"/>
        <w:jc w:val="left"/>
        <w:rPr>
          <w:rFonts w:hAnsi="宋体" w:cs="宋体"/>
          <w:color w:val="auto"/>
          <w:highlight w:val="none"/>
        </w:rPr>
      </w:pPr>
    </w:p>
    <w:p w14:paraId="6CAC2702">
      <w:pPr>
        <w:keepNext w:val="0"/>
        <w:keepLines w:val="0"/>
        <w:pageBreakBefore w:val="0"/>
        <w:widowControl w:val="0"/>
        <w:tabs>
          <w:tab w:val="left" w:pos="1230"/>
        </w:tabs>
        <w:kinsoku/>
        <w:wordWrap/>
        <w:overflowPunct/>
        <w:topLinePunct/>
        <w:autoSpaceDE w:val="0"/>
        <w:autoSpaceDN w:val="0"/>
        <w:bidi w:val="0"/>
        <w:adjustRightInd w:val="0"/>
        <w:snapToGrid w:val="0"/>
        <w:spacing w:after="0" w:line="360" w:lineRule="auto"/>
        <w:ind w:left="363"/>
        <w:textAlignment w:val="auto"/>
        <w:rPr>
          <w:rFonts w:ascii="宋体" w:hAnsi="宋体" w:cs="宋体"/>
          <w:color w:val="auto"/>
          <w:sz w:val="21"/>
          <w:szCs w:val="21"/>
          <w:highlight w:val="none"/>
        </w:rPr>
      </w:pPr>
      <w:r>
        <w:rPr>
          <w:rFonts w:hint="eastAsia" w:ascii="宋体" w:hAnsi="宋体" w:cs="宋体"/>
          <w:color w:val="auto"/>
          <w:sz w:val="21"/>
          <w:szCs w:val="21"/>
          <w:highlight w:val="none"/>
        </w:rPr>
        <w:t>投标人名称（公章）：________________</w:t>
      </w:r>
    </w:p>
    <w:p w14:paraId="42D8F02B">
      <w:pPr>
        <w:keepNext w:val="0"/>
        <w:keepLines w:val="0"/>
        <w:pageBreakBefore w:val="0"/>
        <w:widowControl w:val="0"/>
        <w:tabs>
          <w:tab w:val="left" w:pos="1230"/>
        </w:tabs>
        <w:kinsoku/>
        <w:wordWrap/>
        <w:overflowPunct/>
        <w:topLinePunct/>
        <w:autoSpaceDE w:val="0"/>
        <w:autoSpaceDN w:val="0"/>
        <w:bidi w:val="0"/>
        <w:adjustRightInd w:val="0"/>
        <w:snapToGrid w:val="0"/>
        <w:spacing w:after="0" w:line="360" w:lineRule="auto"/>
        <w:ind w:left="363"/>
        <w:textAlignment w:val="auto"/>
        <w:rPr>
          <w:rFonts w:ascii="宋体" w:hAnsi="宋体" w:cs="宋体"/>
          <w:color w:val="auto"/>
          <w:sz w:val="21"/>
          <w:szCs w:val="21"/>
          <w:highlight w:val="none"/>
        </w:rPr>
      </w:pPr>
      <w:r>
        <w:rPr>
          <w:rFonts w:hint="eastAsia" w:ascii="宋体" w:hAnsi="宋体" w:cs="宋体"/>
          <w:color w:val="auto"/>
          <w:sz w:val="21"/>
          <w:szCs w:val="21"/>
          <w:highlight w:val="none"/>
        </w:rPr>
        <w:t>法定代表人（签字或签章）：________________</w:t>
      </w:r>
    </w:p>
    <w:p w14:paraId="2C3C8255">
      <w:pPr>
        <w:keepNext w:val="0"/>
        <w:keepLines w:val="0"/>
        <w:pageBreakBefore w:val="0"/>
        <w:widowControl w:val="0"/>
        <w:tabs>
          <w:tab w:val="left" w:pos="1230"/>
        </w:tabs>
        <w:kinsoku/>
        <w:wordWrap/>
        <w:overflowPunct/>
        <w:topLinePunct/>
        <w:autoSpaceDE w:val="0"/>
        <w:autoSpaceDN w:val="0"/>
        <w:bidi w:val="0"/>
        <w:adjustRightInd w:val="0"/>
        <w:snapToGrid w:val="0"/>
        <w:spacing w:after="0" w:line="360" w:lineRule="auto"/>
        <w:ind w:left="363"/>
        <w:textAlignment w:val="auto"/>
        <w:rPr>
          <w:rFonts w:ascii="宋体" w:hAnsi="宋体" w:cs="宋体"/>
          <w:color w:val="auto"/>
          <w:sz w:val="21"/>
          <w:szCs w:val="21"/>
          <w:highlight w:val="none"/>
        </w:rPr>
      </w:pPr>
      <w:r>
        <w:rPr>
          <w:rFonts w:hint="eastAsia" w:ascii="宋体" w:hAnsi="宋体" w:cs="宋体"/>
          <w:color w:val="auto"/>
          <w:sz w:val="21"/>
          <w:szCs w:val="21"/>
          <w:highlight w:val="none"/>
        </w:rPr>
        <w:t>被授权投标代表（签字）：________________</w:t>
      </w:r>
    </w:p>
    <w:p w14:paraId="38374A3B">
      <w:pPr>
        <w:keepNext w:val="0"/>
        <w:keepLines w:val="0"/>
        <w:pageBreakBefore w:val="0"/>
        <w:widowControl w:val="0"/>
        <w:tabs>
          <w:tab w:val="left" w:pos="1230"/>
        </w:tabs>
        <w:kinsoku/>
        <w:wordWrap/>
        <w:overflowPunct/>
        <w:topLinePunct/>
        <w:autoSpaceDE w:val="0"/>
        <w:autoSpaceDN w:val="0"/>
        <w:bidi w:val="0"/>
        <w:adjustRightInd w:val="0"/>
        <w:snapToGrid w:val="0"/>
        <w:spacing w:after="0" w:line="360" w:lineRule="auto"/>
        <w:ind w:left="363"/>
        <w:textAlignment w:val="auto"/>
        <w:rPr>
          <w:rFonts w:ascii="宋体" w:hAnsi="宋体" w:cs="宋体"/>
          <w:color w:val="auto"/>
          <w:sz w:val="21"/>
          <w:szCs w:val="21"/>
          <w:highlight w:val="none"/>
        </w:rPr>
      </w:pPr>
      <w:r>
        <w:rPr>
          <w:rFonts w:hint="eastAsia" w:ascii="宋体" w:hAnsi="宋体" w:cs="宋体"/>
          <w:color w:val="auto"/>
          <w:sz w:val="21"/>
          <w:szCs w:val="21"/>
          <w:highlight w:val="none"/>
        </w:rPr>
        <w:t>被授权投标代表联系电话：____________</w:t>
      </w:r>
    </w:p>
    <w:p w14:paraId="796C9202">
      <w:pPr>
        <w:keepNext w:val="0"/>
        <w:keepLines w:val="0"/>
        <w:pageBreakBefore w:val="0"/>
        <w:widowControl w:val="0"/>
        <w:tabs>
          <w:tab w:val="left" w:pos="1230"/>
        </w:tabs>
        <w:kinsoku/>
        <w:wordWrap/>
        <w:overflowPunct/>
        <w:topLinePunct/>
        <w:autoSpaceDE w:val="0"/>
        <w:autoSpaceDN w:val="0"/>
        <w:bidi w:val="0"/>
        <w:adjustRightInd w:val="0"/>
        <w:snapToGrid w:val="0"/>
        <w:spacing w:after="0" w:line="360" w:lineRule="auto"/>
        <w:ind w:left="363"/>
        <w:textAlignment w:val="auto"/>
        <w:rPr>
          <w:rFonts w:ascii="宋体" w:hAnsi="宋体" w:cs="宋体"/>
          <w:color w:val="auto"/>
          <w:sz w:val="21"/>
          <w:szCs w:val="21"/>
          <w:highlight w:val="none"/>
        </w:rPr>
      </w:pPr>
      <w:r>
        <w:rPr>
          <w:rFonts w:hint="eastAsia" w:ascii="宋体" w:hAnsi="宋体" w:cs="宋体"/>
          <w:color w:val="auto"/>
          <w:sz w:val="21"/>
          <w:szCs w:val="21"/>
          <w:highlight w:val="none"/>
        </w:rPr>
        <w:t>日期：____________</w:t>
      </w:r>
    </w:p>
    <w:p w14:paraId="0606E41D">
      <w:pPr>
        <w:topLinePunct/>
        <w:autoSpaceDE w:val="0"/>
        <w:autoSpaceDN w:val="0"/>
        <w:adjustRightInd w:val="0"/>
        <w:snapToGrid w:val="0"/>
        <w:spacing w:after="0" w:line="360" w:lineRule="auto"/>
        <w:jc w:val="left"/>
        <w:rPr>
          <w:rFonts w:hint="default" w:ascii="Times New Roman" w:hAnsi="Times New Roman" w:cs="Times New Roman"/>
          <w:color w:val="auto"/>
          <w:highlight w:val="none"/>
        </w:rPr>
      </w:pPr>
    </w:p>
    <w:p w14:paraId="4A9D1212">
      <w:pPr>
        <w:topLinePunct/>
        <w:autoSpaceDE w:val="0"/>
        <w:autoSpaceDN w:val="0"/>
        <w:adjustRightInd w:val="0"/>
        <w:snapToGrid w:val="0"/>
        <w:spacing w:after="0" w:line="360" w:lineRule="auto"/>
        <w:jc w:val="left"/>
        <w:rPr>
          <w:rFonts w:hint="default" w:ascii="Times New Roman" w:hAnsi="Times New Roman" w:cs="Times New Roman"/>
          <w:i/>
          <w:iCs/>
          <w:color w:val="auto"/>
          <w:highlight w:val="none"/>
        </w:rPr>
      </w:pPr>
      <w:r>
        <w:rPr>
          <w:rFonts w:hint="default" w:ascii="Times New Roman" w:hAnsi="Times New Roman" w:cs="Times New Roman"/>
          <w:color w:val="auto"/>
          <w:highlight w:val="none"/>
        </w:rPr>
        <w:t>特别说明：</w:t>
      </w:r>
    </w:p>
    <w:p w14:paraId="6D262D71">
      <w:pPr>
        <w:tabs>
          <w:tab w:val="left" w:pos="312"/>
        </w:tabs>
        <w:topLinePunct/>
        <w:autoSpaceDE w:val="0"/>
        <w:autoSpaceDN w:val="0"/>
        <w:adjustRightInd w:val="0"/>
        <w:snapToGrid w:val="0"/>
        <w:spacing w:after="0" w:line="360" w:lineRule="auto"/>
        <w:ind w:firstLine="420" w:firstLineChars="200"/>
        <w:rPr>
          <w:rFonts w:ascii="宋体" w:hAnsi="宋体" w:cs="宋体"/>
          <w:color w:val="auto"/>
          <w:highlight w:val="none"/>
        </w:rPr>
      </w:pPr>
      <w:r>
        <w:rPr>
          <w:rFonts w:hint="default" w:ascii="Times New Roman" w:hAnsi="Times New Roman" w:cs="Times New Roman"/>
          <w:color w:val="auto"/>
          <w:highlight w:val="none"/>
        </w:rPr>
        <w:t>1.投标人如由被授权投标代表参与投标活动的，须同时提供《法定代表人授权委托书》和被授权投标代表身份证复印件</w:t>
      </w:r>
      <w:r>
        <w:rPr>
          <w:rFonts w:hint="default" w:ascii="Times New Roman" w:hAnsi="Times New Roman" w:cs="Times New Roman"/>
          <w:bCs/>
          <w:color w:val="auto"/>
          <w:szCs w:val="21"/>
          <w:highlight w:val="none"/>
        </w:rPr>
        <w:t>（线上采购项目提供扫描件，下同）</w:t>
      </w:r>
      <w:r>
        <w:rPr>
          <w:rFonts w:hint="default" w:ascii="Times New Roman" w:hAnsi="Times New Roman" w:cs="Times New Roman"/>
          <w:color w:val="auto"/>
          <w:highlight w:val="none"/>
        </w:rPr>
        <w:t>。《法定代表人授权委托书》应当按本格式要求加盖与投标人名称全称一致的标准公章，并签署法定代表人或被授权投标代表的全名或加盖名章</w:t>
      </w:r>
      <w:r>
        <w:rPr>
          <w:rFonts w:hint="default" w:ascii="Times New Roman" w:hAnsi="Times New Roman" w:cs="Times New Roman"/>
          <w:color w:val="auto"/>
          <w:szCs w:val="21"/>
          <w:highlight w:val="none"/>
        </w:rPr>
        <w:t>。(线上采购项目应上传扫描件)</w:t>
      </w:r>
      <w:r>
        <w:rPr>
          <w:rFonts w:hint="default" w:ascii="Times New Roman" w:hAnsi="Times New Roman" w:cs="Times New Roman"/>
          <w:color w:val="auto"/>
          <w:highlight w:val="none"/>
        </w:rPr>
        <w:t>。</w:t>
      </w:r>
    </w:p>
    <w:p w14:paraId="55B7EF06">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ascii="宋体" w:hAnsi="宋体" w:cs="宋体"/>
          <w:b/>
          <w:bCs/>
          <w:color w:val="auto"/>
          <w:sz w:val="36"/>
          <w:szCs w:val="36"/>
          <w:highlight w:val="none"/>
        </w:rPr>
        <w:br w:type="page"/>
      </w:r>
      <w:r>
        <w:rPr>
          <w:rFonts w:hint="default" w:ascii="Times New Roman" w:hAnsi="Times New Roman" w:cs="Times New Roman"/>
          <w:b/>
          <w:bCs/>
          <w:color w:val="auto"/>
          <w:sz w:val="28"/>
          <w:szCs w:val="28"/>
          <w:highlight w:val="none"/>
        </w:rPr>
        <w:t>1-2法定代表人身份证明复印件</w:t>
      </w:r>
    </w:p>
    <w:p w14:paraId="0F883826">
      <w:pPr>
        <w:adjustRightInd w:val="0"/>
        <w:snapToGrid w:val="0"/>
        <w:spacing w:after="0" w:line="360" w:lineRule="auto"/>
        <w:jc w:val="center"/>
        <w:rPr>
          <w:rFonts w:ascii="宋体" w:hAnsi="宋体" w:cs="宋体"/>
          <w:b w:val="0"/>
          <w:bCs w:val="0"/>
          <w:color w:val="auto"/>
          <w:sz w:val="21"/>
          <w:szCs w:val="21"/>
          <w:highlight w:val="none"/>
        </w:rPr>
      </w:pPr>
      <w:r>
        <w:rPr>
          <w:rFonts w:ascii="宋体" w:hAnsi="宋体" w:cs="宋体"/>
          <w:b w:val="0"/>
          <w:bCs w:val="0"/>
          <w:color w:val="auto"/>
          <w:sz w:val="21"/>
          <w:szCs w:val="21"/>
          <w:highlight w:val="none"/>
        </w:rPr>
        <w:t>(适用于法定代表人参加投标)</w:t>
      </w:r>
    </w:p>
    <w:p w14:paraId="24C280B3">
      <w:pPr>
        <w:topLinePunct/>
        <w:autoSpaceDE w:val="0"/>
        <w:autoSpaceDN w:val="0"/>
        <w:adjustRightInd w:val="0"/>
        <w:snapToGrid w:val="0"/>
        <w:spacing w:after="0" w:line="360" w:lineRule="auto"/>
        <w:ind w:firstLine="420" w:firstLineChars="200"/>
        <w:rPr>
          <w:color w:val="auto"/>
          <w:highlight w:val="none"/>
        </w:rPr>
      </w:pPr>
    </w:p>
    <w:tbl>
      <w:tblPr>
        <w:tblStyle w:val="15"/>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0ADD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5A791364">
            <w:pPr>
              <w:pStyle w:val="10"/>
              <w:adjustRightInd w:val="0"/>
              <w:snapToGrid w:val="0"/>
              <w:spacing w:line="360" w:lineRule="auto"/>
              <w:jc w:val="center"/>
              <w:rPr>
                <w:rFonts w:hAnsi="宋体" w:cs="宋体"/>
                <w:color w:val="auto"/>
                <w:highlight w:val="none"/>
              </w:rPr>
            </w:pPr>
          </w:p>
          <w:p w14:paraId="34D809E0">
            <w:pPr>
              <w:pStyle w:val="10"/>
              <w:adjustRightInd w:val="0"/>
              <w:snapToGrid w:val="0"/>
              <w:spacing w:line="360" w:lineRule="auto"/>
              <w:jc w:val="center"/>
              <w:rPr>
                <w:rFonts w:hAnsi="宋体" w:cs="宋体"/>
                <w:color w:val="auto"/>
                <w:highlight w:val="none"/>
              </w:rPr>
            </w:pPr>
          </w:p>
          <w:p w14:paraId="3592DDB4">
            <w:pPr>
              <w:pStyle w:val="10"/>
              <w:adjustRightInd w:val="0"/>
              <w:snapToGrid w:val="0"/>
              <w:spacing w:line="360" w:lineRule="auto"/>
              <w:jc w:val="center"/>
              <w:rPr>
                <w:rFonts w:hAnsi="宋体" w:cs="宋体"/>
                <w:color w:val="auto"/>
                <w:highlight w:val="none"/>
              </w:rPr>
            </w:pPr>
          </w:p>
          <w:p w14:paraId="358E4642">
            <w:pPr>
              <w:pStyle w:val="10"/>
              <w:adjustRightInd w:val="0"/>
              <w:snapToGrid w:val="0"/>
              <w:spacing w:line="360" w:lineRule="auto"/>
              <w:jc w:val="center"/>
              <w:rPr>
                <w:rFonts w:hAnsi="宋体" w:cs="宋体"/>
                <w:color w:val="auto"/>
                <w:highlight w:val="none"/>
              </w:rPr>
            </w:pPr>
          </w:p>
          <w:p w14:paraId="05FB0B66">
            <w:pPr>
              <w:pStyle w:val="10"/>
              <w:adjustRightInd w:val="0"/>
              <w:snapToGrid w:val="0"/>
              <w:spacing w:line="360" w:lineRule="auto"/>
              <w:jc w:val="center"/>
              <w:rPr>
                <w:rFonts w:hAnsi="宋体" w:cs="宋体"/>
                <w:color w:val="auto"/>
                <w:highlight w:val="none"/>
              </w:rPr>
            </w:pPr>
            <w:r>
              <w:rPr>
                <w:rFonts w:hAnsi="宋体" w:cs="宋体"/>
                <w:color w:val="auto"/>
                <w:highlight w:val="none"/>
              </w:rPr>
              <w:t>法定代表人身份证明复印件</w:t>
            </w:r>
          </w:p>
          <w:p w14:paraId="4E6886BE">
            <w:pPr>
              <w:pStyle w:val="10"/>
              <w:adjustRightInd w:val="0"/>
              <w:snapToGrid w:val="0"/>
              <w:spacing w:line="360" w:lineRule="auto"/>
              <w:jc w:val="center"/>
              <w:rPr>
                <w:rFonts w:hAnsi="宋体" w:cs="宋体"/>
                <w:color w:val="auto"/>
                <w:highlight w:val="none"/>
              </w:rPr>
            </w:pPr>
          </w:p>
          <w:p w14:paraId="32D73D5F">
            <w:pPr>
              <w:pStyle w:val="10"/>
              <w:adjustRightInd w:val="0"/>
              <w:snapToGrid w:val="0"/>
              <w:spacing w:line="360" w:lineRule="auto"/>
              <w:jc w:val="center"/>
              <w:rPr>
                <w:rFonts w:hAnsi="宋体" w:cs="宋体"/>
                <w:color w:val="auto"/>
                <w:highlight w:val="none"/>
              </w:rPr>
            </w:pPr>
          </w:p>
          <w:p w14:paraId="0DF2C649">
            <w:pPr>
              <w:pStyle w:val="10"/>
              <w:adjustRightInd w:val="0"/>
              <w:snapToGrid w:val="0"/>
              <w:spacing w:line="360" w:lineRule="auto"/>
              <w:jc w:val="center"/>
              <w:rPr>
                <w:rFonts w:hAnsi="宋体" w:cs="宋体"/>
                <w:color w:val="auto"/>
                <w:highlight w:val="none"/>
              </w:rPr>
            </w:pPr>
          </w:p>
          <w:p w14:paraId="639FF8F0">
            <w:pPr>
              <w:pStyle w:val="10"/>
              <w:adjustRightInd w:val="0"/>
              <w:snapToGrid w:val="0"/>
              <w:spacing w:line="360" w:lineRule="auto"/>
              <w:jc w:val="center"/>
              <w:rPr>
                <w:rFonts w:hAnsi="宋体" w:cs="宋体"/>
                <w:color w:val="auto"/>
                <w:highlight w:val="none"/>
              </w:rPr>
            </w:pPr>
          </w:p>
        </w:tc>
      </w:tr>
    </w:tbl>
    <w:p w14:paraId="0E8FE526">
      <w:pPr>
        <w:topLinePunct/>
        <w:autoSpaceDE w:val="0"/>
        <w:autoSpaceDN w:val="0"/>
        <w:adjustRightInd w:val="0"/>
        <w:snapToGrid w:val="0"/>
        <w:spacing w:after="0" w:line="360" w:lineRule="auto"/>
        <w:jc w:val="left"/>
        <w:rPr>
          <w:rFonts w:eastAsia="仿宋_GB2312"/>
          <w:color w:val="auto"/>
          <w:highlight w:val="none"/>
        </w:rPr>
      </w:pPr>
    </w:p>
    <w:p w14:paraId="216C05FF">
      <w:pPr>
        <w:topLinePunct/>
        <w:autoSpaceDE w:val="0"/>
        <w:autoSpaceDN w:val="0"/>
        <w:adjustRightInd w:val="0"/>
        <w:snapToGrid w:val="0"/>
        <w:spacing w:after="0" w:line="360" w:lineRule="auto"/>
        <w:jc w:val="left"/>
        <w:rPr>
          <w:rFonts w:ascii="宋体" w:hAnsi="宋体" w:cs="宋体"/>
          <w:i/>
          <w:iCs/>
          <w:color w:val="auto"/>
          <w:highlight w:val="none"/>
        </w:rPr>
      </w:pPr>
      <w:r>
        <w:rPr>
          <w:rFonts w:hint="eastAsia" w:ascii="宋体" w:hAnsi="宋体" w:cs="宋体"/>
          <w:color w:val="auto"/>
          <w:highlight w:val="none"/>
        </w:rPr>
        <w:t>特别说明：</w:t>
      </w:r>
    </w:p>
    <w:p w14:paraId="18EA968B">
      <w:pPr>
        <w:tabs>
          <w:tab w:val="left" w:pos="312"/>
        </w:tabs>
        <w:topLinePunct/>
        <w:autoSpaceDE w:val="0"/>
        <w:autoSpaceDN w:val="0"/>
        <w:adjustRightInd w:val="0"/>
        <w:snapToGrid w:val="0"/>
        <w:spacing w:after="0" w:line="360" w:lineRule="auto"/>
        <w:ind w:firstLine="420" w:firstLineChars="200"/>
        <w:rPr>
          <w:rFonts w:ascii="宋体" w:hAnsi="宋体" w:cs="宋体"/>
          <w:color w:val="auto"/>
          <w:highlight w:val="none"/>
        </w:rPr>
      </w:pPr>
      <w:r>
        <w:rPr>
          <w:rFonts w:hint="eastAsia" w:ascii="宋体" w:hAnsi="宋体" w:cs="宋体"/>
          <w:color w:val="auto"/>
          <w:highlight w:val="none"/>
        </w:rPr>
        <w:t>投标人如由</w:t>
      </w:r>
      <w:r>
        <w:rPr>
          <w:rFonts w:hint="eastAsia" w:ascii="宋体" w:hAnsi="宋体" w:cs="宋体"/>
          <w:b/>
          <w:bCs/>
          <w:color w:val="auto"/>
          <w:highlight w:val="none"/>
        </w:rPr>
        <w:t>法定代表人作为投标代表参与投标活动的，仅须提供法定代表人身份证复印件</w:t>
      </w:r>
      <w:r>
        <w:rPr>
          <w:rFonts w:hint="eastAsia" w:ascii="宋体" w:hAnsi="宋体" w:cs="宋体"/>
          <w:bCs/>
          <w:color w:val="auto"/>
          <w:szCs w:val="21"/>
          <w:highlight w:val="none"/>
        </w:rPr>
        <w:t>（线上采购项目提供扫描件，下同）</w:t>
      </w:r>
      <w:r>
        <w:rPr>
          <w:rFonts w:hint="eastAsia" w:ascii="宋体" w:hAnsi="宋体" w:cs="宋体"/>
          <w:color w:val="auto"/>
          <w:highlight w:val="none"/>
        </w:rPr>
        <w:t>。</w:t>
      </w:r>
    </w:p>
    <w:p w14:paraId="3FA463F7">
      <w:pPr>
        <w:pStyle w:val="10"/>
        <w:ind w:firstLine="420" w:firstLineChars="200"/>
        <w:rPr>
          <w:rFonts w:ascii="Times New Roman" w:hAnsi="Times New Roman" w:eastAsia="仿宋_GB2312"/>
          <w:color w:val="auto"/>
          <w:highlight w:val="none"/>
        </w:rPr>
      </w:pPr>
    </w:p>
    <w:p w14:paraId="70B9D2F0">
      <w:pPr>
        <w:widowControl/>
        <w:spacing w:after="0" w:line="240" w:lineRule="auto"/>
        <w:jc w:val="left"/>
        <w:rPr>
          <w:rFonts w:ascii="宋体" w:hAnsi="宋体" w:cs="宋体"/>
          <w:b/>
          <w:bCs/>
          <w:color w:val="auto"/>
          <w:sz w:val="36"/>
          <w:szCs w:val="36"/>
          <w:highlight w:val="none"/>
        </w:rPr>
      </w:pPr>
      <w:r>
        <w:rPr>
          <w:rFonts w:ascii="宋体" w:hAnsi="宋体" w:cs="宋体"/>
          <w:b/>
          <w:bCs/>
          <w:color w:val="auto"/>
          <w:sz w:val="36"/>
          <w:szCs w:val="36"/>
          <w:highlight w:val="none"/>
        </w:rPr>
        <w:br w:type="page"/>
      </w:r>
    </w:p>
    <w:p w14:paraId="1CD7079D">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1-3自然人授权委托书</w:t>
      </w:r>
    </w:p>
    <w:p w14:paraId="1878BE45">
      <w:pPr>
        <w:adjustRightInd w:val="0"/>
        <w:snapToGrid w:val="0"/>
        <w:spacing w:after="0" w:line="360" w:lineRule="auto"/>
        <w:jc w:val="center"/>
        <w:rPr>
          <w:rFonts w:ascii="宋体" w:hAnsi="宋体" w:cs="宋体"/>
          <w:b w:val="0"/>
          <w:bCs w:val="0"/>
          <w:color w:val="auto"/>
          <w:sz w:val="21"/>
          <w:szCs w:val="21"/>
          <w:highlight w:val="none"/>
        </w:rPr>
      </w:pPr>
      <w:r>
        <w:rPr>
          <w:rFonts w:ascii="宋体" w:hAnsi="宋体" w:cs="宋体"/>
          <w:b w:val="0"/>
          <w:bCs w:val="0"/>
          <w:color w:val="auto"/>
          <w:sz w:val="21"/>
          <w:szCs w:val="21"/>
          <w:highlight w:val="none"/>
        </w:rPr>
        <w:t>(</w:t>
      </w:r>
      <w:r>
        <w:rPr>
          <w:rFonts w:hint="eastAsia" w:ascii="宋体" w:hAnsi="宋体" w:cs="宋体"/>
          <w:b w:val="0"/>
          <w:bCs w:val="0"/>
          <w:color w:val="auto"/>
          <w:sz w:val="21"/>
          <w:szCs w:val="21"/>
          <w:highlight w:val="none"/>
        </w:rPr>
        <w:t>适用于自然人投标</w:t>
      </w:r>
      <w:r>
        <w:rPr>
          <w:rFonts w:ascii="宋体" w:hAnsi="宋体" w:cs="宋体"/>
          <w:b w:val="0"/>
          <w:bCs w:val="0"/>
          <w:color w:val="auto"/>
          <w:sz w:val="21"/>
          <w:szCs w:val="21"/>
          <w:highlight w:val="none"/>
        </w:rPr>
        <w:t>)</w:t>
      </w:r>
    </w:p>
    <w:p w14:paraId="2BA48DF3">
      <w:pPr>
        <w:pStyle w:val="10"/>
        <w:rPr>
          <w:rFonts w:ascii="Times New Roman" w:hAnsi="Times New Roman" w:eastAsia="仿宋_GB2312"/>
          <w:color w:val="auto"/>
          <w:highlight w:val="none"/>
        </w:rPr>
      </w:pPr>
    </w:p>
    <w:p w14:paraId="5CE82BD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highlight w:val="none"/>
        </w:rPr>
      </w:pPr>
      <w:r>
        <w:rPr>
          <w:color w:val="auto"/>
          <w:highlight w:val="none"/>
        </w:rPr>
        <w:t>致____________(采购人或采购代理机构)：</w:t>
      </w:r>
    </w:p>
    <w:p w14:paraId="0A108E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本授权书声明：</w:t>
      </w:r>
      <w:r>
        <w:rPr>
          <w:color w:val="auto"/>
          <w:highlight w:val="none"/>
        </w:rPr>
        <w:t>我________(姓名</w:t>
      </w:r>
      <w:r>
        <w:rPr>
          <w:rFonts w:hint="eastAsia"/>
          <w:color w:val="auto"/>
          <w:highlight w:val="none"/>
        </w:rPr>
        <w:t>、</w:t>
      </w:r>
      <w:r>
        <w:rPr>
          <w:color w:val="auto"/>
          <w:highlight w:val="none"/>
        </w:rPr>
        <w:t>身份证号码)系自然人，现授权委托____________(姓名</w:t>
      </w:r>
      <w:r>
        <w:rPr>
          <w:rFonts w:hint="eastAsia"/>
          <w:color w:val="auto"/>
          <w:highlight w:val="none"/>
        </w:rPr>
        <w:t>、</w:t>
      </w:r>
      <w:r>
        <w:rPr>
          <w:color w:val="auto"/>
          <w:highlight w:val="none"/>
        </w:rPr>
        <w:t>身份证号码)以本人名义参加</w:t>
      </w:r>
      <w:r>
        <w:rPr>
          <w:rFonts w:hint="eastAsia"/>
          <w:color w:val="auto"/>
          <w:highlight w:val="none"/>
        </w:rPr>
        <w:t>《          项目》（项目编号：    ）</w:t>
      </w:r>
      <w:r>
        <w:rPr>
          <w:color w:val="auto"/>
          <w:highlight w:val="none"/>
        </w:rPr>
        <w:t>的投标活动，并代表本人全权办理针对上述项目的投</w:t>
      </w:r>
      <w:r>
        <w:rPr>
          <w:rFonts w:hint="eastAsia"/>
          <w:color w:val="auto"/>
          <w:highlight w:val="none"/>
        </w:rPr>
        <w:t>标、签约等具体事务和签署相关文件。</w:t>
      </w:r>
    </w:p>
    <w:p w14:paraId="6ECBE01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本人对被授权人的签字事项负全部责任。</w:t>
      </w:r>
    </w:p>
    <w:p w14:paraId="641C235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授权委托代理期限：从　　年　　月　　日起至　　年　　月　　日止。</w:t>
      </w:r>
    </w:p>
    <w:p w14:paraId="5152D4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4EFE04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代理人无转委托权，特此委托。</w:t>
      </w:r>
    </w:p>
    <w:p w14:paraId="14EFA9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02B6BC1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我已在下面签字，以资证明。</w:t>
      </w:r>
    </w:p>
    <w:p w14:paraId="6D66F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06540D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自然人签字并在签名处加盖食指指印：　　　　年　　月　　日</w:t>
      </w:r>
    </w:p>
    <w:p w14:paraId="3AE10090">
      <w:pPr>
        <w:pStyle w:val="10"/>
        <w:spacing w:line="360" w:lineRule="auto"/>
        <w:ind w:firstLine="480" w:firstLineChars="200"/>
        <w:rPr>
          <w:rFonts w:ascii="宋体" w:hAnsi="宋体" w:eastAsia="宋体"/>
          <w:color w:val="auto"/>
          <w:sz w:val="24"/>
          <w:szCs w:val="24"/>
          <w:highlight w:val="none"/>
        </w:rPr>
      </w:pPr>
    </w:p>
    <w:p w14:paraId="1D19CDF0">
      <w:pPr>
        <w:topLinePunct/>
        <w:autoSpaceDE w:val="0"/>
        <w:autoSpaceDN w:val="0"/>
        <w:adjustRightInd w:val="0"/>
        <w:snapToGrid w:val="0"/>
        <w:spacing w:after="0" w:line="360" w:lineRule="auto"/>
        <w:jc w:val="left"/>
        <w:rPr>
          <w:rFonts w:ascii="宋体" w:hAnsi="宋体" w:cs="宋体"/>
          <w:color w:val="auto"/>
          <w:highlight w:val="none"/>
        </w:rPr>
      </w:pPr>
    </w:p>
    <w:p w14:paraId="17B4D294">
      <w:pPr>
        <w:topLinePunct/>
        <w:autoSpaceDE w:val="0"/>
        <w:autoSpaceDN w:val="0"/>
        <w:adjustRightInd w:val="0"/>
        <w:snapToGrid w:val="0"/>
        <w:spacing w:after="0" w:line="360" w:lineRule="auto"/>
        <w:jc w:val="left"/>
        <w:rPr>
          <w:rFonts w:ascii="宋体" w:hAnsi="宋体" w:cs="宋体"/>
          <w:i/>
          <w:iCs/>
          <w:color w:val="auto"/>
          <w:highlight w:val="none"/>
        </w:rPr>
      </w:pPr>
      <w:r>
        <w:rPr>
          <w:rFonts w:hint="eastAsia" w:ascii="宋体" w:hAnsi="宋体" w:cs="宋体"/>
          <w:color w:val="auto"/>
          <w:highlight w:val="none"/>
        </w:rPr>
        <w:t>特别说明：</w:t>
      </w:r>
    </w:p>
    <w:p w14:paraId="598EAE1D">
      <w:pPr>
        <w:tabs>
          <w:tab w:val="left" w:pos="312"/>
        </w:tabs>
        <w:topLinePunct/>
        <w:autoSpaceDE w:val="0"/>
        <w:autoSpaceDN w:val="0"/>
        <w:adjustRightInd w:val="0"/>
        <w:snapToGrid w:val="0"/>
        <w:spacing w:after="0" w:line="360" w:lineRule="auto"/>
        <w:ind w:firstLine="420" w:firstLineChars="200"/>
        <w:rPr>
          <w:rFonts w:ascii="宋体" w:hAnsi="宋体" w:cs="宋体"/>
          <w:color w:val="auto"/>
          <w:highlight w:val="none"/>
        </w:rPr>
      </w:pPr>
      <w:r>
        <w:rPr>
          <w:rFonts w:hint="eastAsia" w:ascii="宋体" w:hAnsi="宋体" w:cs="宋体"/>
          <w:color w:val="auto"/>
          <w:highlight w:val="none"/>
        </w:rPr>
        <w:t>投标人如由</w:t>
      </w:r>
      <w:r>
        <w:rPr>
          <w:rFonts w:hint="eastAsia" w:ascii="宋体" w:hAnsi="宋体" w:cs="宋体"/>
          <w:b/>
          <w:bCs/>
          <w:color w:val="auto"/>
          <w:highlight w:val="none"/>
        </w:rPr>
        <w:t>被授权人参与投标活动的，</w:t>
      </w:r>
      <w:r>
        <w:rPr>
          <w:rFonts w:hint="eastAsia" w:ascii="宋体" w:hAnsi="宋体" w:cs="宋体"/>
          <w:color w:val="auto"/>
          <w:highlight w:val="none"/>
        </w:rPr>
        <w:t>须提供《自然人授权委托书》，《自然人授权委托书》应当按本格式要求签字并由自然人在签名处加盖食指指印</w:t>
      </w:r>
      <w:r>
        <w:rPr>
          <w:rFonts w:hint="eastAsia" w:ascii="宋体" w:hAnsi="宋体" w:cs="宋体"/>
          <w:color w:val="auto"/>
          <w:szCs w:val="21"/>
          <w:highlight w:val="none"/>
        </w:rPr>
        <w:t>。</w:t>
      </w:r>
    </w:p>
    <w:p w14:paraId="505CD261">
      <w:pPr>
        <w:pStyle w:val="10"/>
        <w:spacing w:line="360" w:lineRule="auto"/>
        <w:ind w:firstLine="480" w:firstLineChars="200"/>
        <w:rPr>
          <w:rFonts w:ascii="宋体" w:hAnsi="宋体" w:eastAsia="宋体"/>
          <w:color w:val="auto"/>
          <w:sz w:val="24"/>
          <w:szCs w:val="24"/>
          <w:highlight w:val="none"/>
        </w:rPr>
      </w:pPr>
    </w:p>
    <w:p w14:paraId="0F728E90">
      <w:pPr>
        <w:pStyle w:val="10"/>
        <w:ind w:firstLine="420" w:firstLineChars="200"/>
        <w:rPr>
          <w:rFonts w:hAnsi="宋体" w:cs="宋体"/>
          <w:b/>
          <w:bCs/>
          <w:color w:val="auto"/>
          <w:sz w:val="36"/>
          <w:szCs w:val="36"/>
          <w:highlight w:val="none"/>
        </w:rPr>
      </w:pPr>
      <w:r>
        <w:rPr>
          <w:rFonts w:ascii="Times New Roman" w:hAnsi="Times New Roman" w:eastAsia="仿宋_GB2312"/>
          <w:color w:val="auto"/>
          <w:highlight w:val="none"/>
        </w:rPr>
        <w:br w:type="page"/>
      </w:r>
    </w:p>
    <w:p w14:paraId="16A52F64">
      <w:pPr>
        <w:adjustRightInd w:val="0"/>
        <w:snapToGrid w:val="0"/>
        <w:spacing w:after="0"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格式2  投标函</w:t>
      </w:r>
    </w:p>
    <w:p w14:paraId="3BC75A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highlight w:val="none"/>
        </w:rPr>
      </w:pPr>
      <w:r>
        <w:rPr>
          <w:rFonts w:hint="eastAsia"/>
          <w:color w:val="auto"/>
          <w:highlight w:val="none"/>
        </w:rPr>
        <w:t>致________（采购人或采购代理机构）：</w:t>
      </w:r>
    </w:p>
    <w:p w14:paraId="7DDC02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根据______（项目名称）（项目编号：______）的招标公告，______（姓名、职务）代表投标人______（投标人名称、地址）参加项目招标的有关活动。据此函，作如下承诺：</w:t>
      </w:r>
    </w:p>
    <w:p w14:paraId="5D62A0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1.同意在本项目招标文件中规定的开标日起    天遵守本投标文件中的承诺，且在期满之前均具有约束力。</w:t>
      </w:r>
    </w:p>
    <w:p w14:paraId="1B2DB8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2.具备政府采购相关法律法规规定的参加政府采购活动的供应商应当具备的条件：</w:t>
      </w:r>
    </w:p>
    <w:p w14:paraId="7284F6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（1）具有独立承担民事责任的能力；</w:t>
      </w:r>
    </w:p>
    <w:p w14:paraId="65515C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（2）具有良好的商业信誉和健全的财务会计制度；</w:t>
      </w:r>
    </w:p>
    <w:p w14:paraId="23E9BB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（3）具有履行合同所必需的设备和专业技术能力；</w:t>
      </w:r>
    </w:p>
    <w:p w14:paraId="70FFFC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（4）有依法缴纳税收和社会保障资金的良好记录；</w:t>
      </w:r>
    </w:p>
    <w:p w14:paraId="55560B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（5）参加此项采购活动前三年内，在经营活动中没有重大违法记录。</w:t>
      </w:r>
    </w:p>
    <w:p w14:paraId="291D17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 xml:space="preserve">（6）法律、行政法规规定的其他条件。 </w:t>
      </w:r>
    </w:p>
    <w:p w14:paraId="1548B32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3.具备本项目招标文件中规定的其他要求和资质条件。</w:t>
      </w:r>
    </w:p>
    <w:p w14:paraId="257847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4.提供投标人须知规定的全部投标文件。</w:t>
      </w:r>
    </w:p>
    <w:p w14:paraId="6B4A2A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5.已详细审阅全部招标文件（包括招标文件澄清函），理解投标人须知的所有条款。</w:t>
      </w:r>
    </w:p>
    <w:p w14:paraId="51DAD5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6.完全理解贵方“最低报价不能作为中标的保证”的规定。</w:t>
      </w:r>
    </w:p>
    <w:p w14:paraId="709745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7.接受招标文件中全部合同条款，且无任何异议；保证忠实地执行双方所签订的合同，并承担合同规定的责任和义务。</w:t>
      </w:r>
    </w:p>
    <w:p w14:paraId="5303D5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8.完全满足和响应招标文件中的各项商务和技术要求，若有偏差，已在投标文件中明确说明。</w:t>
      </w:r>
    </w:p>
    <w:p w14:paraId="38E65D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9.愿意提供任何与投标有关的数据、情况和技术资料等。若贵方需要，愿意提供一切证明材料。</w:t>
      </w:r>
    </w:p>
    <w:p w14:paraId="15D384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10.我方已详细审核全部投标文件、参考资料及有关附件，确认无误。</w:t>
      </w:r>
    </w:p>
    <w:p w14:paraId="66FAE1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11.对本次招标内容及与本项目有关的知识产权、技术资料、商业秘密及相关信息保密。</w:t>
      </w:r>
    </w:p>
    <w:p w14:paraId="2EA6F9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12.已知悉并承诺遵守《税务系统信息化服务商失信行为记录名单制度(试行) 》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政府采购活动的相关规定。</w:t>
      </w:r>
    </w:p>
    <w:p w14:paraId="712CA7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5CAA26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15AEC2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073F4F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投标人名称（公章）：____________</w:t>
      </w:r>
    </w:p>
    <w:p w14:paraId="5029E0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法定代表人（签字或签章）/被授权投标代表（签字）：____________</w:t>
      </w:r>
    </w:p>
    <w:p w14:paraId="64B5B43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投标人地址：____________</w:t>
      </w:r>
    </w:p>
    <w:p w14:paraId="303136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邮编：____________</w:t>
      </w:r>
    </w:p>
    <w:p w14:paraId="644503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电话：____________</w:t>
      </w:r>
    </w:p>
    <w:p w14:paraId="3237BD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传真：____________</w:t>
      </w:r>
    </w:p>
    <w:p w14:paraId="1A43F5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 xml:space="preserve">日  期：____________          </w:t>
      </w:r>
    </w:p>
    <w:p w14:paraId="48D22E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6ADAC0B8">
      <w:pPr>
        <w:ind w:firstLine="480" w:firstLineChars="200"/>
        <w:rPr>
          <w:rFonts w:hAnsi="宋体" w:eastAsia="Times New Roman" w:cs="宋体"/>
          <w:color w:val="auto"/>
          <w:sz w:val="24"/>
          <w:highlight w:val="none"/>
        </w:rPr>
      </w:pPr>
    </w:p>
    <w:p w14:paraId="425C1B4B">
      <w:pPr>
        <w:adjustRightInd w:val="0"/>
        <w:snapToGrid w:val="0"/>
        <w:spacing w:after="0" w:line="360" w:lineRule="auto"/>
        <w:rPr>
          <w:rFonts w:ascii="宋体" w:hAnsi="宋体" w:cs="宋体"/>
          <w:color w:val="auto"/>
          <w:highlight w:val="none"/>
        </w:rPr>
      </w:pPr>
      <w:r>
        <w:rPr>
          <w:rFonts w:hint="eastAsia" w:ascii="宋体" w:hAnsi="宋体" w:cs="宋体"/>
          <w:color w:val="auto"/>
          <w:highlight w:val="none"/>
        </w:rPr>
        <w:t>特别说明：</w:t>
      </w:r>
    </w:p>
    <w:p w14:paraId="44273D97">
      <w:pPr>
        <w:adjustRightInd w:val="0"/>
        <w:snapToGrid w:val="0"/>
        <w:spacing w:after="0"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投标人应当按上述格式要求加盖与投标人名称全称一致的标准公章，并签署法定代表人或</w:t>
      </w:r>
      <w:r>
        <w:rPr>
          <w:rFonts w:hint="eastAsia" w:ascii="宋体" w:hAnsi="宋体" w:cs="宋体"/>
          <w:bCs/>
          <w:color w:val="auto"/>
          <w:szCs w:val="21"/>
          <w:highlight w:val="none"/>
        </w:rPr>
        <w:t>被授权投标代表</w:t>
      </w:r>
      <w:r>
        <w:rPr>
          <w:rFonts w:hint="eastAsia" w:ascii="宋体" w:hAnsi="宋体" w:cs="宋体"/>
          <w:color w:val="auto"/>
          <w:szCs w:val="21"/>
          <w:highlight w:val="none"/>
        </w:rPr>
        <w:t>的全名或加盖名章，线上采购项目应上传扫描件。</w:t>
      </w:r>
    </w:p>
    <w:p w14:paraId="76690385">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hint="eastAsia" w:hAnsi="宋体" w:cs="宋体"/>
          <w:b/>
          <w:bCs/>
          <w:color w:val="auto"/>
          <w:sz w:val="28"/>
          <w:szCs w:val="28"/>
          <w:highlight w:val="none"/>
        </w:rPr>
        <w:br w:type="page"/>
      </w:r>
      <w:bookmarkStart w:id="35" w:name="_Toc18153"/>
      <w:bookmarkStart w:id="36" w:name="_Toc8860"/>
      <w:r>
        <w:rPr>
          <w:rFonts w:hint="default" w:ascii="Times New Roman" w:hAnsi="Times New Roman" w:cs="Times New Roman"/>
          <w:b/>
          <w:bCs/>
          <w:color w:val="auto"/>
          <w:sz w:val="28"/>
          <w:szCs w:val="28"/>
          <w:highlight w:val="none"/>
        </w:rPr>
        <w:t>格式3  投标报价表</w:t>
      </w:r>
    </w:p>
    <w:bookmarkEnd w:id="35"/>
    <w:bookmarkEnd w:id="36"/>
    <w:p w14:paraId="7A02DA57">
      <w:pPr>
        <w:tabs>
          <w:tab w:val="left" w:pos="1230"/>
        </w:tabs>
        <w:topLinePunct/>
        <w:autoSpaceDE w:val="0"/>
        <w:autoSpaceDN w:val="0"/>
        <w:adjustRightInd w:val="0"/>
        <w:snapToGrid w:val="0"/>
        <w:spacing w:after="0" w:line="360" w:lineRule="auto"/>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1.开标一览表（总报价表）</w:t>
      </w:r>
    </w:p>
    <w:p w14:paraId="20B589C1">
      <w:pPr>
        <w:pStyle w:val="10"/>
        <w:topLinePunct/>
        <w:autoSpaceDE w:val="0"/>
        <w:autoSpaceDN w:val="0"/>
        <w:adjustRightInd w:val="0"/>
        <w:snapToGrid w:val="0"/>
        <w:spacing w:line="360" w:lineRule="auto"/>
        <w:ind w:left="2"/>
        <w:jc w:val="center"/>
        <w:rPr>
          <w:rFonts w:hAnsi="宋体" w:cs="宋体"/>
          <w:b w:val="0"/>
          <w:bCs w:val="0"/>
          <w:color w:val="auto"/>
          <w:kern w:val="2"/>
          <w:sz w:val="21"/>
          <w:highlight w:val="none"/>
        </w:rPr>
      </w:pPr>
      <w:r>
        <w:rPr>
          <w:rFonts w:hint="eastAsia" w:hAnsi="宋体" w:cs="宋体"/>
          <w:b w:val="0"/>
          <w:bCs w:val="0"/>
          <w:color w:val="auto"/>
          <w:kern w:val="2"/>
          <w:sz w:val="21"/>
          <w:highlight w:val="none"/>
        </w:rPr>
        <w:t>(服务类项目适用)</w:t>
      </w:r>
    </w:p>
    <w:p w14:paraId="501FF522">
      <w:pPr>
        <w:topLinePunct/>
        <w:autoSpaceDE w:val="0"/>
        <w:autoSpaceDN w:val="0"/>
        <w:adjustRightInd w:val="0"/>
        <w:snapToGrid w:val="0"/>
        <w:spacing w:after="0" w:line="360" w:lineRule="auto"/>
        <w:jc w:val="left"/>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1E91C85C">
      <w:pPr>
        <w:adjustRightInd w:val="0"/>
        <w:snapToGrid w:val="0"/>
        <w:spacing w:after="0" w:line="360" w:lineRule="auto"/>
        <w:ind w:right="840"/>
        <w:rPr>
          <w:rFonts w:ascii="宋体" w:hAnsi="宋体" w:cs="宋体"/>
          <w:bCs/>
          <w:color w:val="auto"/>
          <w:w w:val="150"/>
          <w:szCs w:val="21"/>
          <w:highlight w:val="none"/>
        </w:rPr>
      </w:pPr>
      <w:r>
        <w:rPr>
          <w:rFonts w:hint="eastAsia" w:ascii="宋体" w:hAnsi="宋体" w:cs="宋体"/>
          <w:color w:val="auto"/>
          <w:highlight w:val="none"/>
        </w:rPr>
        <w:t>采购包号：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价格单位：人民币   元</w:t>
      </w:r>
    </w:p>
    <w:tbl>
      <w:tblPr>
        <w:tblStyle w:val="15"/>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2430"/>
        <w:gridCol w:w="2488"/>
        <w:gridCol w:w="2553"/>
      </w:tblGrid>
      <w:tr w14:paraId="53AC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61" w:type="dxa"/>
            <w:noWrap/>
            <w:vAlign w:val="center"/>
          </w:tcPr>
          <w:p w14:paraId="4D39C169">
            <w:pPr>
              <w:adjustRightInd w:val="0"/>
              <w:snapToGrid w:val="0"/>
              <w:spacing w:beforeLines="20" w:afterLines="2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2430" w:type="dxa"/>
            <w:noWrap/>
            <w:vAlign w:val="center"/>
          </w:tcPr>
          <w:p w14:paraId="6748743D">
            <w:pPr>
              <w:adjustRightInd w:val="0"/>
              <w:snapToGrid w:val="0"/>
              <w:spacing w:beforeLines="20" w:afterLines="20" w:line="240" w:lineRule="auto"/>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标的</w:t>
            </w:r>
          </w:p>
        </w:tc>
        <w:tc>
          <w:tcPr>
            <w:tcW w:w="2488" w:type="dxa"/>
            <w:noWrap/>
            <w:vAlign w:val="center"/>
          </w:tcPr>
          <w:p w14:paraId="3C5453E1">
            <w:pPr>
              <w:adjustRightInd w:val="0"/>
              <w:snapToGrid w:val="0"/>
              <w:spacing w:beforeLines="20" w:afterLines="20" w:line="240" w:lineRule="auto"/>
              <w:jc w:val="center"/>
              <w:rPr>
                <w:rFonts w:hint="eastAsia" w:ascii="Times New Roman" w:hAnsi="Times New Roman"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结算系数</w:t>
            </w:r>
          </w:p>
        </w:tc>
        <w:tc>
          <w:tcPr>
            <w:tcW w:w="2553" w:type="dxa"/>
            <w:noWrap/>
            <w:vAlign w:val="center"/>
          </w:tcPr>
          <w:p w14:paraId="399CBA4C">
            <w:pPr>
              <w:adjustRightInd w:val="0"/>
              <w:snapToGrid w:val="0"/>
              <w:spacing w:beforeLines="20" w:afterLines="20" w:line="240" w:lineRule="auto"/>
              <w:jc w:val="center"/>
              <w:rPr>
                <w:rFonts w:hint="default" w:ascii="Times New Roman" w:hAnsi="Times New Roman" w:cs="Times New Roman"/>
                <w:b/>
                <w:color w:val="auto"/>
                <w:sz w:val="21"/>
                <w:szCs w:val="21"/>
                <w:highlight w:val="none"/>
              </w:rPr>
            </w:pPr>
            <w:r>
              <w:rPr>
                <w:rFonts w:hint="eastAsia" w:ascii="宋体" w:hAnsi="宋体" w:cs="宋体"/>
                <w:snapToGrid/>
                <w:color w:val="FF0000"/>
                <w:sz w:val="21"/>
                <w:szCs w:val="21"/>
                <w:lang w:val="en-US" w:eastAsia="zh-CN" w:bidi="ar-SA"/>
              </w:rPr>
              <w:t>备注</w:t>
            </w:r>
          </w:p>
        </w:tc>
      </w:tr>
      <w:tr w14:paraId="37D0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861" w:type="dxa"/>
            <w:noWrap/>
            <w:vAlign w:val="center"/>
          </w:tcPr>
          <w:p w14:paraId="0B88720F">
            <w:pPr>
              <w:adjustRightInd w:val="0"/>
              <w:snapToGrid w:val="0"/>
              <w:spacing w:beforeLines="20" w:afterLines="2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color w:val="auto"/>
                <w:sz w:val="21"/>
                <w:szCs w:val="21"/>
                <w:highlight w:val="none"/>
              </w:rPr>
              <w:t>1</w:t>
            </w:r>
          </w:p>
        </w:tc>
        <w:tc>
          <w:tcPr>
            <w:tcW w:w="2430" w:type="dxa"/>
            <w:noWrap/>
            <w:vAlign w:val="center"/>
          </w:tcPr>
          <w:p w14:paraId="7667C7FE">
            <w:pPr>
              <w:adjustRightInd w:val="0"/>
              <w:snapToGrid w:val="0"/>
              <w:spacing w:after="0" w:line="360" w:lineRule="auto"/>
              <w:jc w:val="center"/>
              <w:rPr>
                <w:rFonts w:hint="default" w:ascii="Times New Roman" w:hAnsi="Times New Roman" w:cs="Times New Roman"/>
                <w:color w:val="auto"/>
                <w:sz w:val="21"/>
                <w:szCs w:val="21"/>
                <w:highlight w:val="none"/>
              </w:rPr>
            </w:pPr>
          </w:p>
        </w:tc>
        <w:tc>
          <w:tcPr>
            <w:tcW w:w="2488" w:type="dxa"/>
            <w:noWrap/>
            <w:vAlign w:val="center"/>
          </w:tcPr>
          <w:p w14:paraId="06554BD8">
            <w:pPr>
              <w:adjustRightInd w:val="0"/>
              <w:snapToGrid w:val="0"/>
              <w:spacing w:after="0" w:line="360" w:lineRule="auto"/>
              <w:jc w:val="center"/>
              <w:rPr>
                <w:rFonts w:hint="default" w:ascii="Times New Roman" w:hAnsi="Times New Roman" w:cs="Times New Roman"/>
                <w:color w:val="auto"/>
                <w:sz w:val="21"/>
                <w:szCs w:val="21"/>
                <w:highlight w:val="none"/>
              </w:rPr>
            </w:pPr>
          </w:p>
        </w:tc>
        <w:tc>
          <w:tcPr>
            <w:tcW w:w="2553" w:type="dxa"/>
            <w:noWrap/>
            <w:vAlign w:val="center"/>
          </w:tcPr>
          <w:p w14:paraId="676EC538">
            <w:pPr>
              <w:adjustRightInd w:val="0"/>
              <w:snapToGrid w:val="0"/>
              <w:spacing w:beforeLines="20" w:afterLines="20" w:line="240" w:lineRule="auto"/>
              <w:jc w:val="center"/>
              <w:rPr>
                <w:rFonts w:hint="default" w:ascii="Times New Roman" w:hAnsi="Times New Roman" w:cs="Times New Roman"/>
                <w:b/>
                <w:color w:val="auto"/>
                <w:sz w:val="21"/>
                <w:szCs w:val="21"/>
                <w:highlight w:val="none"/>
              </w:rPr>
            </w:pPr>
          </w:p>
        </w:tc>
      </w:tr>
      <w:tr w14:paraId="09F7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3"/>
            <w:noWrap/>
            <w:vAlign w:val="center"/>
          </w:tcPr>
          <w:p w14:paraId="68CD0ABB">
            <w:pPr>
              <w:adjustRightInd w:val="0"/>
              <w:snapToGrid w:val="0"/>
              <w:spacing w:beforeLines="20" w:afterLines="20" w:line="240" w:lineRule="auto"/>
              <w:jc w:val="left"/>
              <w:rPr>
                <w:rFonts w:hint="eastAsia" w:ascii="Times New Roman" w:hAnsi="Times New Roman" w:eastAsia="宋体" w:cs="Times New Roman"/>
                <w:color w:val="FF0000"/>
                <w:sz w:val="21"/>
                <w:szCs w:val="21"/>
                <w:highlight w:val="none"/>
                <w:lang w:eastAsia="zh-CN"/>
              </w:rPr>
            </w:pPr>
            <w:r>
              <w:rPr>
                <w:rFonts w:hint="eastAsia" w:ascii="宋体" w:hAnsi="宋体" w:eastAsia="宋体" w:cs="宋体"/>
                <w:snapToGrid/>
                <w:color w:val="FF0000"/>
                <w:sz w:val="21"/>
                <w:szCs w:val="21"/>
                <w:lang w:val="en-US" w:eastAsia="zh-CN" w:bidi="ar-SA"/>
              </w:rPr>
              <w:t>结算系数</w:t>
            </w:r>
            <w:r>
              <w:rPr>
                <w:rFonts w:hint="default" w:ascii="Times New Roman" w:hAnsi="Times New Roman" w:cs="Times New Roman"/>
                <w:color w:val="FF0000"/>
                <w:sz w:val="21"/>
                <w:szCs w:val="21"/>
                <w:highlight w:val="none"/>
              </w:rPr>
              <w:t>（小写）</w:t>
            </w:r>
            <w:r>
              <w:rPr>
                <w:rFonts w:hint="eastAsia" w:ascii="Times New Roman" w:hAnsi="Times New Roman" w:cs="Times New Roman"/>
                <w:color w:val="FF0000"/>
                <w:sz w:val="21"/>
                <w:szCs w:val="21"/>
                <w:highlight w:val="none"/>
                <w:lang w:eastAsia="zh-CN"/>
              </w:rPr>
              <w:t>：</w:t>
            </w:r>
          </w:p>
        </w:tc>
        <w:tc>
          <w:tcPr>
            <w:tcW w:w="2553" w:type="dxa"/>
            <w:noWrap/>
            <w:vAlign w:val="center"/>
          </w:tcPr>
          <w:p w14:paraId="72B9C3E0">
            <w:pPr>
              <w:adjustRightInd w:val="0"/>
              <w:snapToGrid w:val="0"/>
              <w:spacing w:beforeLines="20" w:afterLines="20" w:line="240" w:lineRule="auto"/>
              <w:jc w:val="center"/>
              <w:rPr>
                <w:rFonts w:hint="default" w:ascii="Times New Roman" w:hAnsi="Times New Roman" w:cs="Times New Roman"/>
                <w:color w:val="auto"/>
                <w:sz w:val="21"/>
                <w:szCs w:val="21"/>
                <w:highlight w:val="none"/>
              </w:rPr>
            </w:pPr>
          </w:p>
        </w:tc>
      </w:tr>
      <w:tr w14:paraId="5968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3"/>
            <w:noWrap/>
            <w:vAlign w:val="center"/>
          </w:tcPr>
          <w:p w14:paraId="7EA11392">
            <w:pPr>
              <w:adjustRightInd w:val="0"/>
              <w:snapToGrid w:val="0"/>
              <w:spacing w:beforeLines="20" w:afterLines="20" w:line="240" w:lineRule="auto"/>
              <w:jc w:val="left"/>
              <w:rPr>
                <w:rFonts w:hint="eastAsia" w:ascii="Times New Roman" w:hAnsi="Times New Roman" w:eastAsia="宋体" w:cs="Times New Roman"/>
                <w:b/>
                <w:bCs/>
                <w:color w:val="FF0000"/>
                <w:sz w:val="21"/>
                <w:szCs w:val="21"/>
                <w:highlight w:val="none"/>
                <w:lang w:eastAsia="zh-CN"/>
              </w:rPr>
            </w:pPr>
            <w:r>
              <w:rPr>
                <w:rFonts w:hint="eastAsia" w:ascii="宋体" w:hAnsi="宋体" w:eastAsia="宋体" w:cs="宋体"/>
                <w:snapToGrid/>
                <w:color w:val="FF0000"/>
                <w:sz w:val="21"/>
                <w:szCs w:val="21"/>
                <w:lang w:val="en-US" w:eastAsia="zh-CN" w:bidi="ar-SA"/>
              </w:rPr>
              <w:t>结算系数</w:t>
            </w:r>
            <w:r>
              <w:rPr>
                <w:rFonts w:hint="default" w:ascii="Times New Roman" w:hAnsi="Times New Roman" w:cs="Times New Roman"/>
                <w:color w:val="FF0000"/>
                <w:sz w:val="21"/>
                <w:szCs w:val="21"/>
                <w:highlight w:val="none"/>
              </w:rPr>
              <w:t>（大写）</w:t>
            </w:r>
            <w:r>
              <w:rPr>
                <w:rFonts w:hint="eastAsia" w:ascii="Times New Roman" w:hAnsi="Times New Roman" w:cs="Times New Roman"/>
                <w:color w:val="FF0000"/>
                <w:sz w:val="21"/>
                <w:szCs w:val="21"/>
                <w:highlight w:val="none"/>
                <w:lang w:eastAsia="zh-CN"/>
              </w:rPr>
              <w:t>：</w:t>
            </w:r>
          </w:p>
        </w:tc>
        <w:tc>
          <w:tcPr>
            <w:tcW w:w="2553" w:type="dxa"/>
            <w:noWrap/>
            <w:vAlign w:val="center"/>
          </w:tcPr>
          <w:p w14:paraId="5FEA8147">
            <w:pPr>
              <w:adjustRightInd w:val="0"/>
              <w:snapToGrid w:val="0"/>
              <w:spacing w:beforeLines="20" w:afterLines="20" w:line="240" w:lineRule="auto"/>
              <w:jc w:val="center"/>
              <w:rPr>
                <w:rFonts w:hint="default" w:ascii="Times New Roman" w:hAnsi="Times New Roman" w:cs="Times New Roman"/>
                <w:color w:val="auto"/>
                <w:sz w:val="21"/>
                <w:szCs w:val="21"/>
                <w:highlight w:val="none"/>
              </w:rPr>
            </w:pPr>
          </w:p>
        </w:tc>
      </w:tr>
      <w:tr w14:paraId="430F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3"/>
            <w:noWrap/>
            <w:vAlign w:val="center"/>
          </w:tcPr>
          <w:p w14:paraId="56856782">
            <w:pPr>
              <w:adjustRightInd w:val="0"/>
              <w:snapToGrid w:val="0"/>
              <w:spacing w:beforeLines="20" w:afterLines="2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服务期</w:t>
            </w:r>
          </w:p>
        </w:tc>
        <w:tc>
          <w:tcPr>
            <w:tcW w:w="2553" w:type="dxa"/>
            <w:noWrap/>
            <w:vAlign w:val="center"/>
          </w:tcPr>
          <w:p w14:paraId="570D1060">
            <w:pPr>
              <w:adjustRightInd w:val="0"/>
              <w:snapToGrid w:val="0"/>
              <w:spacing w:beforeLines="20" w:afterLines="20" w:line="240" w:lineRule="auto"/>
              <w:jc w:val="center"/>
              <w:rPr>
                <w:rFonts w:hint="default" w:ascii="Times New Roman" w:hAnsi="Times New Roman" w:cs="Times New Roman"/>
                <w:color w:val="auto"/>
                <w:sz w:val="21"/>
                <w:szCs w:val="21"/>
                <w:highlight w:val="none"/>
              </w:rPr>
            </w:pPr>
          </w:p>
        </w:tc>
      </w:tr>
      <w:tr w14:paraId="04E9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779" w:type="dxa"/>
            <w:gridSpan w:val="3"/>
            <w:noWrap/>
            <w:vAlign w:val="center"/>
          </w:tcPr>
          <w:p w14:paraId="0C70BE98">
            <w:pPr>
              <w:adjustRightInd w:val="0"/>
              <w:snapToGrid w:val="0"/>
              <w:spacing w:beforeLines="20" w:afterLines="2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2553" w:type="dxa"/>
            <w:noWrap/>
            <w:vAlign w:val="center"/>
          </w:tcPr>
          <w:p w14:paraId="76C94EFF">
            <w:pPr>
              <w:adjustRightInd w:val="0"/>
              <w:snapToGrid w:val="0"/>
              <w:spacing w:beforeLines="20" w:afterLines="20" w:line="240" w:lineRule="auto"/>
              <w:jc w:val="center"/>
              <w:rPr>
                <w:rFonts w:hint="default" w:ascii="Times New Roman" w:hAnsi="Times New Roman" w:cs="Times New Roman"/>
                <w:color w:val="auto"/>
                <w:sz w:val="21"/>
                <w:szCs w:val="21"/>
                <w:highlight w:val="none"/>
              </w:rPr>
            </w:pPr>
          </w:p>
        </w:tc>
      </w:tr>
    </w:tbl>
    <w:p w14:paraId="5D2D01A5">
      <w:pPr>
        <w:topLinePunct/>
        <w:autoSpaceDE w:val="0"/>
        <w:autoSpaceDN w:val="0"/>
        <w:spacing w:after="0"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6C276BE0">
      <w:pPr>
        <w:topLinePunct/>
        <w:autoSpaceDE w:val="0"/>
        <w:autoSpaceDN w:val="0"/>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1.本项目总价及分项报价均不接受任何形式的赠送、“零”报价和折扣报价。</w:t>
      </w:r>
    </w:p>
    <w:p w14:paraId="5CF00334">
      <w:pPr>
        <w:topLinePunct/>
        <w:autoSpaceDE w:val="0"/>
        <w:autoSpaceDN w:val="0"/>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2.本项目执行中所发生的所有费用均计入投标报价中，采购人不再另行支付其他任何费用。</w:t>
      </w:r>
    </w:p>
    <w:p w14:paraId="3023DD81">
      <w:pPr>
        <w:topLinePunct/>
        <w:autoSpaceDE w:val="0"/>
        <w:autoSpaceDN w:val="0"/>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3.投标人应根据《招标文件-技术部分》相关要求填报。</w:t>
      </w:r>
    </w:p>
    <w:p w14:paraId="1BFD4DF1">
      <w:pPr>
        <w:topLinePunct/>
        <w:autoSpaceDE w:val="0"/>
        <w:autoSpaceDN w:val="0"/>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4.如报价不一致，按照投标人须知“19.核价原则”进行修正。</w:t>
      </w:r>
    </w:p>
    <w:p w14:paraId="410E884B">
      <w:pPr>
        <w:topLinePunct/>
        <w:autoSpaceDE w:val="0"/>
        <w:autoSpaceDN w:val="0"/>
        <w:adjustRightInd w:val="0"/>
        <w:snapToGrid w:val="0"/>
        <w:spacing w:after="0" w:line="360" w:lineRule="auto"/>
        <w:ind w:firstLine="525" w:firstLineChars="250"/>
        <w:jc w:val="left"/>
        <w:rPr>
          <w:color w:val="auto"/>
          <w:highlight w:val="none"/>
        </w:rPr>
      </w:pPr>
    </w:p>
    <w:p w14:paraId="4BEDDAAF">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ascii="宋体" w:hAnsi="宋体"/>
          <w:color w:val="auto"/>
          <w:kern w:val="0"/>
          <w:sz w:val="21"/>
          <w:szCs w:val="21"/>
          <w:highlight w:val="none"/>
        </w:rPr>
        <w:t>（全称并加盖公章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03F90BD8">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olor w:val="auto"/>
          <w:kern w:val="0"/>
          <w:sz w:val="21"/>
          <w:szCs w:val="21"/>
          <w:highlight w:val="none"/>
        </w:rPr>
        <w:t>投标人代表（签字或盖章）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FF8B61D">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038D007F">
      <w:pPr>
        <w:widowControl/>
        <w:spacing w:after="0" w:line="240" w:lineRule="auto"/>
        <w:jc w:val="center"/>
        <w:rPr>
          <w:rFonts w:hint="default" w:ascii="Times New Roman" w:hAnsi="Times New Roman" w:cs="Times New Roman"/>
          <w:b/>
          <w:color w:val="auto"/>
          <w:sz w:val="28"/>
          <w:highlight w:val="none"/>
        </w:rPr>
      </w:pPr>
      <w:r>
        <w:rPr>
          <w:rFonts w:hAnsi="宋体" w:cs="宋体"/>
          <w:color w:val="auto"/>
          <w:sz w:val="21"/>
          <w:szCs w:val="21"/>
          <w:highlight w:val="none"/>
        </w:rPr>
        <w:br w:type="page"/>
      </w:r>
      <w:r>
        <w:rPr>
          <w:rFonts w:hint="default" w:ascii="Times New Roman" w:hAnsi="Times New Roman" w:cs="Times New Roman"/>
          <w:b/>
          <w:color w:val="auto"/>
          <w:sz w:val="28"/>
          <w:highlight w:val="none"/>
        </w:rPr>
        <w:t>2.分项报价表</w:t>
      </w:r>
    </w:p>
    <w:p w14:paraId="6F23742F">
      <w:pPr>
        <w:widowControl/>
        <w:spacing w:after="0" w:line="240" w:lineRule="auto"/>
        <w:jc w:val="center"/>
        <w:rPr>
          <w:rFonts w:ascii="宋体" w:hAnsi="宋体" w:cs="宋体"/>
          <w:b/>
          <w:color w:val="auto"/>
          <w:sz w:val="28"/>
          <w:highlight w:val="none"/>
        </w:rPr>
      </w:pPr>
      <w:r>
        <w:rPr>
          <w:rFonts w:ascii="宋体" w:hAnsi="宋体" w:cs="宋体"/>
          <w:b/>
          <w:color w:val="auto"/>
          <w:sz w:val="28"/>
          <w:highlight w:val="none"/>
        </w:rPr>
        <w:t>2.</w:t>
      </w:r>
      <w:r>
        <w:rPr>
          <w:rFonts w:hint="eastAsia" w:ascii="宋体" w:hAnsi="宋体" w:cs="宋体"/>
          <w:b/>
          <w:color w:val="auto"/>
          <w:sz w:val="28"/>
          <w:highlight w:val="none"/>
          <w:lang w:val="en-US" w:eastAsia="zh-CN"/>
        </w:rPr>
        <w:t>1</w:t>
      </w:r>
      <w:r>
        <w:rPr>
          <w:rFonts w:hint="eastAsia" w:ascii="宋体" w:hAnsi="宋体" w:cs="宋体"/>
          <w:b/>
          <w:color w:val="auto"/>
          <w:sz w:val="28"/>
          <w:highlight w:val="none"/>
        </w:rPr>
        <w:t>分项报价表</w:t>
      </w:r>
    </w:p>
    <w:p w14:paraId="78D22311">
      <w:pPr>
        <w:pStyle w:val="10"/>
        <w:topLinePunct/>
        <w:autoSpaceDE w:val="0"/>
        <w:autoSpaceDN w:val="0"/>
        <w:adjustRightInd w:val="0"/>
        <w:snapToGrid w:val="0"/>
        <w:spacing w:line="360" w:lineRule="auto"/>
        <w:ind w:left="2"/>
        <w:jc w:val="center"/>
        <w:rPr>
          <w:rFonts w:hAnsi="宋体" w:cs="宋体"/>
          <w:b/>
          <w:bCs/>
          <w:color w:val="auto"/>
          <w:kern w:val="2"/>
          <w:sz w:val="21"/>
          <w:highlight w:val="none"/>
        </w:rPr>
      </w:pPr>
      <w:r>
        <w:rPr>
          <w:rFonts w:hint="eastAsia" w:hAnsi="宋体" w:cs="宋体"/>
          <w:b w:val="0"/>
          <w:bCs w:val="0"/>
          <w:color w:val="auto"/>
          <w:kern w:val="2"/>
          <w:sz w:val="21"/>
          <w:highlight w:val="none"/>
        </w:rPr>
        <w:t>（服务类项目适用)</w:t>
      </w:r>
    </w:p>
    <w:p w14:paraId="30B340D5">
      <w:pPr>
        <w:topLinePunct/>
        <w:autoSpaceDE w:val="0"/>
        <w:autoSpaceDN w:val="0"/>
        <w:adjustRightInd w:val="0"/>
        <w:snapToGrid w:val="0"/>
        <w:spacing w:after="0" w:line="360" w:lineRule="auto"/>
        <w:jc w:val="left"/>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306A9A0D">
      <w:pPr>
        <w:adjustRightInd w:val="0"/>
        <w:snapToGrid w:val="0"/>
        <w:spacing w:after="0" w:line="360" w:lineRule="auto"/>
        <w:ind w:right="840"/>
        <w:rPr>
          <w:rFonts w:ascii="宋体" w:hAnsi="宋体" w:cs="宋体"/>
          <w:bCs/>
          <w:color w:val="auto"/>
          <w:w w:val="150"/>
          <w:szCs w:val="21"/>
          <w:highlight w:val="none"/>
        </w:rPr>
      </w:pPr>
      <w:r>
        <w:rPr>
          <w:rFonts w:hint="eastAsia" w:ascii="宋体" w:hAnsi="宋体" w:cs="宋体"/>
          <w:color w:val="auto"/>
          <w:highlight w:val="none"/>
        </w:rPr>
        <w:t>采购包号：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价格单位：人民币   元</w:t>
      </w:r>
    </w:p>
    <w:tbl>
      <w:tblPr>
        <w:tblStyle w:val="15"/>
        <w:tblW w:w="8877" w:type="dxa"/>
        <w:jc w:val="center"/>
        <w:tblLayout w:type="fixed"/>
        <w:tblCellMar>
          <w:top w:w="0" w:type="dxa"/>
          <w:left w:w="108" w:type="dxa"/>
          <w:bottom w:w="0" w:type="dxa"/>
          <w:right w:w="108" w:type="dxa"/>
        </w:tblCellMar>
      </w:tblPr>
      <w:tblGrid>
        <w:gridCol w:w="868"/>
        <w:gridCol w:w="2282"/>
        <w:gridCol w:w="2932"/>
        <w:gridCol w:w="1928"/>
        <w:gridCol w:w="867"/>
      </w:tblGrid>
      <w:tr w14:paraId="00C83B82">
        <w:tblPrEx>
          <w:tblCellMar>
            <w:top w:w="0" w:type="dxa"/>
            <w:left w:w="108" w:type="dxa"/>
            <w:bottom w:w="0" w:type="dxa"/>
            <w:right w:w="108" w:type="dxa"/>
          </w:tblCellMar>
        </w:tblPrEx>
        <w:trPr>
          <w:trHeight w:val="423" w:hRule="atLeast"/>
          <w:tblHeader/>
          <w:jc w:val="center"/>
        </w:trPr>
        <w:tc>
          <w:tcPr>
            <w:tcW w:w="868" w:type="dxa"/>
            <w:tcBorders>
              <w:top w:val="single" w:color="auto" w:sz="4" w:space="0"/>
              <w:left w:val="single" w:color="auto" w:sz="4" w:space="0"/>
              <w:bottom w:val="single" w:color="auto" w:sz="4" w:space="0"/>
              <w:right w:val="single" w:color="auto" w:sz="4" w:space="0"/>
            </w:tcBorders>
            <w:noWrap w:val="0"/>
            <w:vAlign w:val="center"/>
          </w:tcPr>
          <w:p w14:paraId="2539E803">
            <w:pPr>
              <w:widowControl/>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2282" w:type="dxa"/>
            <w:tcBorders>
              <w:top w:val="single" w:color="auto" w:sz="4" w:space="0"/>
              <w:left w:val="nil"/>
              <w:bottom w:val="single" w:color="auto" w:sz="4" w:space="0"/>
              <w:right w:val="single" w:color="auto" w:sz="4" w:space="0"/>
            </w:tcBorders>
            <w:noWrap w:val="0"/>
            <w:vAlign w:val="center"/>
          </w:tcPr>
          <w:p w14:paraId="69A0A0F5">
            <w:pPr>
              <w:widowControl/>
              <w:spacing w:after="0" w:line="240" w:lineRule="auto"/>
              <w:ind w:left="-84" w:leftChars="-40" w:firstLine="82" w:firstLineChars="39"/>
              <w:jc w:val="center"/>
              <w:rPr>
                <w:rFonts w:hint="default" w:ascii="Times New Roman" w:hAnsi="Times New Roman" w:cs="Times New Roman"/>
                <w:b/>
                <w:color w:val="auto"/>
                <w:sz w:val="21"/>
                <w:szCs w:val="21"/>
                <w:highlight w:val="none"/>
              </w:rPr>
            </w:pPr>
            <w:r>
              <w:rPr>
                <w:rFonts w:hint="eastAsia" w:ascii="Times New Roman" w:hAnsi="Times New Roman" w:cs="Times New Roman"/>
                <w:b/>
                <w:color w:val="auto"/>
                <w:sz w:val="21"/>
                <w:szCs w:val="21"/>
                <w:highlight w:val="none"/>
                <w:lang w:val="en-US" w:eastAsia="zh-CN"/>
              </w:rPr>
              <w:t>标的</w:t>
            </w:r>
            <w:r>
              <w:rPr>
                <w:rFonts w:hint="default" w:ascii="Times New Roman" w:hAnsi="Times New Roman" w:cs="Times New Roman"/>
                <w:b/>
                <w:color w:val="auto"/>
                <w:sz w:val="21"/>
                <w:szCs w:val="21"/>
                <w:highlight w:val="none"/>
              </w:rPr>
              <w:t>名称</w:t>
            </w:r>
          </w:p>
        </w:tc>
        <w:tc>
          <w:tcPr>
            <w:tcW w:w="2932" w:type="dxa"/>
            <w:tcBorders>
              <w:top w:val="single" w:color="auto" w:sz="4" w:space="0"/>
              <w:left w:val="nil"/>
              <w:bottom w:val="single" w:color="auto" w:sz="4" w:space="0"/>
              <w:right w:val="single" w:color="auto" w:sz="4" w:space="0"/>
            </w:tcBorders>
            <w:noWrap w:val="0"/>
            <w:vAlign w:val="center"/>
          </w:tcPr>
          <w:p w14:paraId="4419AEA5">
            <w:pPr>
              <w:widowControl/>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内容描述</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D07F97E">
            <w:pPr>
              <w:widowControl/>
              <w:spacing w:after="0" w:line="240" w:lineRule="auto"/>
              <w:jc w:val="center"/>
              <w:rPr>
                <w:rFonts w:hint="default" w:ascii="Times New Roman" w:hAnsi="Times New Roman" w:eastAsia="宋体" w:cs="Times New Roman"/>
                <w:b/>
                <w:color w:val="auto"/>
                <w:sz w:val="21"/>
                <w:szCs w:val="21"/>
                <w:highlight w:val="none"/>
                <w:lang w:val="en-US" w:eastAsia="zh-CN"/>
              </w:rPr>
            </w:pPr>
            <w:r>
              <w:rPr>
                <w:rFonts w:hint="eastAsia" w:ascii="Times New Roman" w:hAnsi="Times New Roman" w:cs="Times New Roman"/>
                <w:b/>
                <w:color w:val="auto"/>
                <w:sz w:val="21"/>
                <w:szCs w:val="21"/>
                <w:highlight w:val="none"/>
                <w:lang w:val="en-US" w:eastAsia="zh-CN"/>
              </w:rPr>
              <w:t>结算系数</w:t>
            </w:r>
          </w:p>
        </w:tc>
        <w:tc>
          <w:tcPr>
            <w:tcW w:w="867" w:type="dxa"/>
            <w:tcBorders>
              <w:top w:val="single" w:color="auto" w:sz="4" w:space="0"/>
              <w:left w:val="nil"/>
              <w:bottom w:val="single" w:color="auto" w:sz="4" w:space="0"/>
              <w:right w:val="single" w:color="auto" w:sz="4" w:space="0"/>
            </w:tcBorders>
            <w:noWrap w:val="0"/>
            <w:vAlign w:val="center"/>
          </w:tcPr>
          <w:p w14:paraId="36586EFE">
            <w:pPr>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14:paraId="152DCF13">
        <w:tblPrEx>
          <w:tblCellMar>
            <w:top w:w="0" w:type="dxa"/>
            <w:left w:w="108" w:type="dxa"/>
            <w:bottom w:w="0" w:type="dxa"/>
            <w:right w:w="108" w:type="dxa"/>
          </w:tblCellMar>
        </w:tblPrEx>
        <w:trPr>
          <w:trHeight w:val="674" w:hRule="atLeast"/>
          <w:tblHeader/>
          <w:jc w:val="center"/>
        </w:trPr>
        <w:tc>
          <w:tcPr>
            <w:tcW w:w="868" w:type="dxa"/>
            <w:tcBorders>
              <w:top w:val="single" w:color="auto" w:sz="4" w:space="0"/>
              <w:left w:val="single" w:color="auto" w:sz="4" w:space="0"/>
              <w:bottom w:val="single" w:color="auto" w:sz="4" w:space="0"/>
              <w:right w:val="single" w:color="auto" w:sz="4" w:space="0"/>
            </w:tcBorders>
            <w:noWrap w:val="0"/>
            <w:vAlign w:val="center"/>
          </w:tcPr>
          <w:p w14:paraId="7426518F">
            <w:pPr>
              <w:tabs>
                <w:tab w:val="left" w:pos="425"/>
              </w:tabs>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2282" w:type="dxa"/>
            <w:tcBorders>
              <w:top w:val="single" w:color="auto" w:sz="4" w:space="0"/>
              <w:left w:val="nil"/>
              <w:bottom w:val="single" w:color="auto" w:sz="4" w:space="0"/>
              <w:right w:val="single" w:color="auto" w:sz="4" w:space="0"/>
            </w:tcBorders>
            <w:noWrap w:val="0"/>
            <w:vAlign w:val="center"/>
          </w:tcPr>
          <w:p w14:paraId="154760C9">
            <w:pPr>
              <w:spacing w:after="0" w:line="240" w:lineRule="auto"/>
              <w:jc w:val="center"/>
              <w:rPr>
                <w:rFonts w:hint="default" w:ascii="Times New Roman" w:hAnsi="Times New Roman" w:cs="Times New Roman"/>
                <w:color w:val="auto"/>
                <w:sz w:val="21"/>
                <w:szCs w:val="21"/>
                <w:highlight w:val="none"/>
              </w:rPr>
            </w:pPr>
          </w:p>
        </w:tc>
        <w:tc>
          <w:tcPr>
            <w:tcW w:w="2932" w:type="dxa"/>
            <w:tcBorders>
              <w:top w:val="single" w:color="auto" w:sz="4" w:space="0"/>
              <w:left w:val="nil"/>
              <w:bottom w:val="single" w:color="auto" w:sz="4" w:space="0"/>
              <w:right w:val="single" w:color="auto" w:sz="4" w:space="0"/>
            </w:tcBorders>
            <w:noWrap w:val="0"/>
            <w:vAlign w:val="center"/>
          </w:tcPr>
          <w:p w14:paraId="56030753">
            <w:pPr>
              <w:tabs>
                <w:tab w:val="left" w:pos="425"/>
              </w:tabs>
              <w:snapToGrid w:val="0"/>
              <w:spacing w:after="0" w:line="240" w:lineRule="auto"/>
              <w:jc w:val="center"/>
              <w:rPr>
                <w:rFonts w:hint="default" w:ascii="Times New Roman" w:hAnsi="Times New Roman" w:cs="Times New Roman"/>
                <w:color w:val="auto"/>
                <w:sz w:val="21"/>
                <w:szCs w:val="21"/>
                <w:highlight w:val="none"/>
              </w:rPr>
            </w:pPr>
          </w:p>
        </w:tc>
        <w:tc>
          <w:tcPr>
            <w:tcW w:w="1928" w:type="dxa"/>
            <w:tcBorders>
              <w:top w:val="single" w:color="auto" w:sz="4" w:space="0"/>
              <w:left w:val="single" w:color="auto" w:sz="4" w:space="0"/>
              <w:bottom w:val="single" w:color="auto" w:sz="4" w:space="0"/>
              <w:right w:val="single" w:color="auto" w:sz="4" w:space="0"/>
            </w:tcBorders>
            <w:noWrap w:val="0"/>
            <w:vAlign w:val="center"/>
          </w:tcPr>
          <w:p w14:paraId="6F99C976">
            <w:pPr>
              <w:tabs>
                <w:tab w:val="left" w:pos="425"/>
              </w:tabs>
              <w:snapToGrid w:val="0"/>
              <w:spacing w:after="0" w:line="240" w:lineRule="auto"/>
              <w:jc w:val="center"/>
              <w:rPr>
                <w:rFonts w:hint="default" w:ascii="Times New Roman" w:hAnsi="Times New Roman" w:cs="Times New Roman"/>
                <w:color w:val="auto"/>
                <w:sz w:val="21"/>
                <w:szCs w:val="21"/>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6FC0ABD5">
            <w:pPr>
              <w:tabs>
                <w:tab w:val="left" w:pos="425"/>
              </w:tabs>
              <w:snapToGrid w:val="0"/>
              <w:spacing w:after="0" w:line="240" w:lineRule="auto"/>
              <w:jc w:val="center"/>
              <w:rPr>
                <w:rFonts w:hint="default" w:ascii="Times New Roman" w:hAnsi="Times New Roman" w:cs="Times New Roman"/>
                <w:color w:val="auto"/>
                <w:sz w:val="21"/>
                <w:szCs w:val="21"/>
                <w:highlight w:val="none"/>
              </w:rPr>
            </w:pPr>
          </w:p>
        </w:tc>
      </w:tr>
      <w:tr w14:paraId="47E9868B">
        <w:tblPrEx>
          <w:tblCellMar>
            <w:top w:w="0" w:type="dxa"/>
            <w:left w:w="108" w:type="dxa"/>
            <w:bottom w:w="0" w:type="dxa"/>
            <w:right w:w="108" w:type="dxa"/>
          </w:tblCellMar>
        </w:tblPrEx>
        <w:trPr>
          <w:trHeight w:val="645" w:hRule="atLeast"/>
          <w:tblHeader/>
          <w:jc w:val="center"/>
        </w:trPr>
        <w:tc>
          <w:tcPr>
            <w:tcW w:w="6082" w:type="dxa"/>
            <w:gridSpan w:val="3"/>
            <w:tcBorders>
              <w:top w:val="single" w:color="auto" w:sz="4" w:space="0"/>
              <w:left w:val="single" w:color="auto" w:sz="4" w:space="0"/>
              <w:bottom w:val="single" w:color="auto" w:sz="4" w:space="0"/>
              <w:right w:val="single" w:color="auto" w:sz="4" w:space="0"/>
            </w:tcBorders>
            <w:noWrap w:val="0"/>
            <w:vAlign w:val="center"/>
          </w:tcPr>
          <w:p w14:paraId="0D196B3A">
            <w:pPr>
              <w:tabs>
                <w:tab w:val="left" w:pos="425"/>
              </w:tabs>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合   计</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39521A4B">
            <w:pPr>
              <w:tabs>
                <w:tab w:val="left" w:pos="425"/>
              </w:tabs>
              <w:snapToGrid w:val="0"/>
              <w:spacing w:after="0" w:line="240" w:lineRule="auto"/>
              <w:jc w:val="center"/>
              <w:rPr>
                <w:rFonts w:hint="default" w:ascii="Times New Roman" w:hAnsi="Times New Roman" w:cs="Times New Roman"/>
                <w:color w:val="auto"/>
                <w:sz w:val="21"/>
                <w:szCs w:val="21"/>
                <w:highlight w:val="none"/>
              </w:rPr>
            </w:pPr>
          </w:p>
        </w:tc>
        <w:tc>
          <w:tcPr>
            <w:tcW w:w="867" w:type="dxa"/>
            <w:tcBorders>
              <w:top w:val="single" w:color="auto" w:sz="4" w:space="0"/>
              <w:left w:val="single" w:color="auto" w:sz="4" w:space="0"/>
              <w:bottom w:val="single" w:color="auto" w:sz="4" w:space="0"/>
              <w:right w:val="single" w:color="auto" w:sz="4" w:space="0"/>
            </w:tcBorders>
            <w:noWrap w:val="0"/>
            <w:vAlign w:val="center"/>
          </w:tcPr>
          <w:p w14:paraId="1EB4C7AE">
            <w:pPr>
              <w:tabs>
                <w:tab w:val="left" w:pos="425"/>
              </w:tabs>
              <w:snapToGrid w:val="0"/>
              <w:spacing w:after="0" w:line="240" w:lineRule="auto"/>
              <w:jc w:val="center"/>
              <w:rPr>
                <w:rFonts w:hint="default" w:ascii="Times New Roman" w:hAnsi="Times New Roman" w:cs="Times New Roman"/>
                <w:color w:val="auto"/>
                <w:sz w:val="21"/>
                <w:szCs w:val="21"/>
                <w:highlight w:val="none"/>
              </w:rPr>
            </w:pPr>
          </w:p>
        </w:tc>
      </w:tr>
    </w:tbl>
    <w:p w14:paraId="46C754CF">
      <w:pPr>
        <w:topLinePunct/>
        <w:autoSpaceDE w:val="0"/>
        <w:autoSpaceDN w:val="0"/>
        <w:spacing w:after="0" w:line="360" w:lineRule="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特别说明：</w:t>
      </w:r>
    </w:p>
    <w:p w14:paraId="3CF4D443">
      <w:pPr>
        <w:topLinePunct/>
        <w:autoSpaceDE w:val="0"/>
        <w:autoSpaceDN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1.本项目总价及分项报价均不接受任何形式的赠送、“零”报价和折扣报价。</w:t>
      </w:r>
    </w:p>
    <w:p w14:paraId="6553021E">
      <w:pPr>
        <w:topLinePunct/>
        <w:autoSpaceDE w:val="0"/>
        <w:autoSpaceDN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2.如报价不一致，按照投标人须知“19.核价原则”进行修正。</w:t>
      </w:r>
    </w:p>
    <w:p w14:paraId="5C5864DD">
      <w:pPr>
        <w:topLinePunct/>
        <w:autoSpaceDE w:val="0"/>
        <w:autoSpaceDN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3.本表中小计=    数量×单价。</w:t>
      </w:r>
    </w:p>
    <w:p w14:paraId="6FAD6B89">
      <w:pPr>
        <w:topLinePunct/>
        <w:autoSpaceDE w:val="0"/>
        <w:autoSpaceDN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4.本表仅供参考，可扩展。</w:t>
      </w:r>
    </w:p>
    <w:p w14:paraId="6678E094">
      <w:pPr>
        <w:pStyle w:val="10"/>
        <w:ind w:firstLine="420" w:firstLineChars="200"/>
        <w:rPr>
          <w:rFonts w:hint="default" w:ascii="Times New Roman" w:hAnsi="Times New Roman" w:cs="Times New Roman"/>
          <w:color w:val="auto"/>
          <w:sz w:val="21"/>
          <w:szCs w:val="21"/>
          <w:highlight w:val="none"/>
        </w:rPr>
      </w:pPr>
    </w:p>
    <w:p w14:paraId="45400A39">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w:t>
      </w:r>
      <w:r>
        <w:rPr>
          <w:rFonts w:hint="default" w:ascii="Times New Roman" w:hAnsi="Times New Roman" w:cs="Times New Roman"/>
          <w:color w:val="auto"/>
          <w:kern w:val="0"/>
          <w:sz w:val="21"/>
          <w:szCs w:val="21"/>
          <w:highlight w:val="none"/>
        </w:rPr>
        <w:t>（全称并加盖公章</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u w:val="single"/>
        </w:rPr>
        <w:t xml:space="preserve">             </w:t>
      </w:r>
    </w:p>
    <w:p w14:paraId="55FC9104">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投标人代表（签字或盖章）</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u w:val="single"/>
        </w:rPr>
        <w:t xml:space="preserve">             </w:t>
      </w:r>
    </w:p>
    <w:p w14:paraId="53415DA2">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日期：</w:t>
      </w:r>
      <w:r>
        <w:rPr>
          <w:rFonts w:hint="default" w:ascii="Times New Roman" w:hAnsi="Times New Roman" w:cs="Times New Roman"/>
          <w:color w:val="auto"/>
          <w:sz w:val="21"/>
          <w:szCs w:val="21"/>
          <w:highlight w:val="none"/>
          <w:u w:val="single"/>
        </w:rPr>
        <w:t xml:space="preserve">                                 </w:t>
      </w:r>
    </w:p>
    <w:p w14:paraId="45C11854">
      <w:pPr>
        <w:widowControl/>
        <w:spacing w:after="0" w:line="240" w:lineRule="auto"/>
        <w:jc w:val="center"/>
        <w:rPr>
          <w:rFonts w:ascii="宋体" w:hAnsi="宋体" w:cs="宋体"/>
          <w:b/>
          <w:bCs/>
          <w:color w:val="auto"/>
          <w:sz w:val="28"/>
          <w:szCs w:val="28"/>
          <w:highlight w:val="none"/>
        </w:rPr>
      </w:pPr>
      <w:r>
        <w:rPr>
          <w:rFonts w:ascii="宋体" w:hAnsi="宋体" w:cs="宋体"/>
          <w:b/>
          <w:bCs/>
          <w:color w:val="auto"/>
          <w:sz w:val="36"/>
          <w:szCs w:val="36"/>
          <w:highlight w:val="none"/>
        </w:rPr>
        <w:br w:type="page"/>
      </w:r>
      <w:r>
        <w:rPr>
          <w:rFonts w:hint="eastAsia" w:ascii="宋体" w:hAnsi="宋体" w:cs="宋体"/>
          <w:b/>
          <w:bCs/>
          <w:color w:val="auto"/>
          <w:sz w:val="28"/>
          <w:szCs w:val="28"/>
          <w:highlight w:val="none"/>
        </w:rPr>
        <w:t>格式4  商务条款偏离表</w:t>
      </w: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798"/>
        <w:gridCol w:w="1545"/>
        <w:gridCol w:w="1530"/>
        <w:gridCol w:w="1515"/>
        <w:gridCol w:w="1285"/>
      </w:tblGrid>
      <w:tr w14:paraId="55EF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3615B2E2">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1798" w:type="dxa"/>
            <w:tcBorders>
              <w:top w:val="single" w:color="auto" w:sz="4" w:space="0"/>
              <w:left w:val="single" w:color="auto" w:sz="4" w:space="0"/>
              <w:bottom w:val="single" w:color="auto" w:sz="4" w:space="0"/>
              <w:right w:val="single" w:color="auto" w:sz="4" w:space="0"/>
            </w:tcBorders>
            <w:noWrap/>
            <w:vAlign w:val="center"/>
          </w:tcPr>
          <w:p w14:paraId="17C43A15">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招标文件条目号</w:t>
            </w:r>
          </w:p>
        </w:tc>
        <w:tc>
          <w:tcPr>
            <w:tcW w:w="1545" w:type="dxa"/>
            <w:tcBorders>
              <w:top w:val="single" w:color="auto" w:sz="4" w:space="0"/>
              <w:left w:val="single" w:color="auto" w:sz="4" w:space="0"/>
              <w:bottom w:val="single" w:color="auto" w:sz="4" w:space="0"/>
              <w:right w:val="single" w:color="auto" w:sz="4" w:space="0"/>
            </w:tcBorders>
            <w:noWrap/>
            <w:vAlign w:val="center"/>
          </w:tcPr>
          <w:p w14:paraId="4AE67413">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招标文件</w:t>
            </w:r>
          </w:p>
          <w:p w14:paraId="765A83A4">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商务条款</w:t>
            </w:r>
          </w:p>
        </w:tc>
        <w:tc>
          <w:tcPr>
            <w:tcW w:w="1530" w:type="dxa"/>
            <w:tcBorders>
              <w:top w:val="single" w:color="auto" w:sz="4" w:space="0"/>
              <w:left w:val="single" w:color="auto" w:sz="4" w:space="0"/>
              <w:bottom w:val="single" w:color="auto" w:sz="4" w:space="0"/>
              <w:right w:val="single" w:color="auto" w:sz="4" w:space="0"/>
            </w:tcBorders>
            <w:noWrap/>
            <w:vAlign w:val="center"/>
          </w:tcPr>
          <w:p w14:paraId="73336931">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投标文件</w:t>
            </w:r>
          </w:p>
          <w:p w14:paraId="2CFF5E11">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商务条款</w:t>
            </w:r>
          </w:p>
        </w:tc>
        <w:tc>
          <w:tcPr>
            <w:tcW w:w="1515" w:type="dxa"/>
            <w:tcBorders>
              <w:top w:val="single" w:color="auto" w:sz="4" w:space="0"/>
              <w:left w:val="single" w:color="auto" w:sz="4" w:space="0"/>
              <w:bottom w:val="single" w:color="auto" w:sz="4" w:space="0"/>
              <w:right w:val="single" w:color="auto" w:sz="4" w:space="0"/>
            </w:tcBorders>
            <w:noWrap/>
            <w:vAlign w:val="center"/>
          </w:tcPr>
          <w:p w14:paraId="3F6549D5">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偏离</w:t>
            </w:r>
          </w:p>
          <w:p w14:paraId="22E47F4F">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（无/正/负）</w:t>
            </w:r>
          </w:p>
        </w:tc>
        <w:tc>
          <w:tcPr>
            <w:tcW w:w="1285" w:type="dxa"/>
            <w:tcBorders>
              <w:top w:val="single" w:color="auto" w:sz="4" w:space="0"/>
              <w:left w:val="single" w:color="auto" w:sz="4" w:space="0"/>
              <w:bottom w:val="single" w:color="auto" w:sz="4" w:space="0"/>
              <w:right w:val="single" w:color="auto" w:sz="4" w:space="0"/>
            </w:tcBorders>
            <w:noWrap/>
            <w:vAlign w:val="center"/>
          </w:tcPr>
          <w:p w14:paraId="0DF9B328">
            <w:pPr>
              <w:topLinePunct/>
              <w:autoSpaceDE w:val="0"/>
              <w:autoSpaceDN w:val="0"/>
              <w:spacing w:beforeLines="20" w:after="4"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说明</w:t>
            </w:r>
          </w:p>
        </w:tc>
      </w:tr>
      <w:tr w14:paraId="0FB6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156AA97">
            <w:pPr>
              <w:topLinePunct/>
              <w:autoSpaceDE w:val="0"/>
              <w:autoSpaceDN w:val="0"/>
              <w:spacing w:beforeLines="20" w:after="4"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798" w:type="dxa"/>
            <w:tcBorders>
              <w:top w:val="single" w:color="auto" w:sz="4" w:space="0"/>
              <w:left w:val="single" w:color="auto" w:sz="4" w:space="0"/>
              <w:bottom w:val="single" w:color="auto" w:sz="4" w:space="0"/>
              <w:right w:val="single" w:color="auto" w:sz="4" w:space="0"/>
            </w:tcBorders>
            <w:noWrap/>
            <w:vAlign w:val="top"/>
          </w:tcPr>
          <w:p w14:paraId="1FD88E5B">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ign w:val="top"/>
          </w:tcPr>
          <w:p w14:paraId="3B24A66E">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ign w:val="top"/>
          </w:tcPr>
          <w:p w14:paraId="175FF51D">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ign w:val="top"/>
          </w:tcPr>
          <w:p w14:paraId="12FF3818">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ign w:val="top"/>
          </w:tcPr>
          <w:p w14:paraId="6425FABE">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r>
      <w:tr w14:paraId="521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18B6ED4E">
            <w:pPr>
              <w:topLinePunct/>
              <w:autoSpaceDE w:val="0"/>
              <w:autoSpaceDN w:val="0"/>
              <w:spacing w:beforeLines="20" w:after="4"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798" w:type="dxa"/>
            <w:tcBorders>
              <w:top w:val="single" w:color="auto" w:sz="4" w:space="0"/>
              <w:left w:val="single" w:color="auto" w:sz="4" w:space="0"/>
              <w:bottom w:val="single" w:color="auto" w:sz="4" w:space="0"/>
              <w:right w:val="single" w:color="auto" w:sz="4" w:space="0"/>
            </w:tcBorders>
            <w:noWrap/>
            <w:vAlign w:val="top"/>
          </w:tcPr>
          <w:p w14:paraId="0F63DB4A">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ign w:val="top"/>
          </w:tcPr>
          <w:p w14:paraId="276B1ED9">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ign w:val="top"/>
          </w:tcPr>
          <w:p w14:paraId="4FFCF3E2">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ign w:val="top"/>
          </w:tcPr>
          <w:p w14:paraId="540E987C">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ign w:val="top"/>
          </w:tcPr>
          <w:p w14:paraId="2E1EA048">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r>
      <w:tr w14:paraId="5ED4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13E70E1E">
            <w:pPr>
              <w:topLinePunct/>
              <w:autoSpaceDE w:val="0"/>
              <w:autoSpaceDN w:val="0"/>
              <w:spacing w:beforeLines="20" w:after="4"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798" w:type="dxa"/>
            <w:tcBorders>
              <w:top w:val="single" w:color="auto" w:sz="4" w:space="0"/>
              <w:left w:val="single" w:color="auto" w:sz="4" w:space="0"/>
              <w:bottom w:val="single" w:color="auto" w:sz="4" w:space="0"/>
              <w:right w:val="single" w:color="auto" w:sz="4" w:space="0"/>
            </w:tcBorders>
            <w:noWrap/>
            <w:vAlign w:val="top"/>
          </w:tcPr>
          <w:p w14:paraId="704B23E4">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ign w:val="top"/>
          </w:tcPr>
          <w:p w14:paraId="187A7655">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ign w:val="top"/>
          </w:tcPr>
          <w:p w14:paraId="65B60FFF">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ign w:val="top"/>
          </w:tcPr>
          <w:p w14:paraId="775C0581">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ign w:val="top"/>
          </w:tcPr>
          <w:p w14:paraId="42BA8A1B">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r>
      <w:tr w14:paraId="350D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0E0795E2">
            <w:pPr>
              <w:topLinePunct/>
              <w:autoSpaceDE w:val="0"/>
              <w:autoSpaceDN w:val="0"/>
              <w:spacing w:beforeLines="20" w:after="4"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798" w:type="dxa"/>
            <w:tcBorders>
              <w:top w:val="single" w:color="auto" w:sz="4" w:space="0"/>
              <w:left w:val="single" w:color="auto" w:sz="4" w:space="0"/>
              <w:bottom w:val="single" w:color="auto" w:sz="4" w:space="0"/>
              <w:right w:val="single" w:color="auto" w:sz="4" w:space="0"/>
            </w:tcBorders>
            <w:noWrap/>
            <w:vAlign w:val="top"/>
          </w:tcPr>
          <w:p w14:paraId="0D8C8666">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ign w:val="top"/>
          </w:tcPr>
          <w:p w14:paraId="40666255">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ign w:val="top"/>
          </w:tcPr>
          <w:p w14:paraId="6722DA80">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ign w:val="top"/>
          </w:tcPr>
          <w:p w14:paraId="01EF9A25">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ign w:val="top"/>
          </w:tcPr>
          <w:p w14:paraId="4FFD89FF">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r>
      <w:tr w14:paraId="015A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593EBD88">
            <w:pPr>
              <w:topLinePunct/>
              <w:autoSpaceDE w:val="0"/>
              <w:autoSpaceDN w:val="0"/>
              <w:spacing w:beforeLines="20" w:after="4"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798" w:type="dxa"/>
            <w:tcBorders>
              <w:top w:val="single" w:color="auto" w:sz="4" w:space="0"/>
              <w:left w:val="single" w:color="auto" w:sz="4" w:space="0"/>
              <w:bottom w:val="single" w:color="auto" w:sz="4" w:space="0"/>
              <w:right w:val="single" w:color="auto" w:sz="4" w:space="0"/>
            </w:tcBorders>
            <w:noWrap/>
            <w:vAlign w:val="top"/>
          </w:tcPr>
          <w:p w14:paraId="0ADDD98F">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45" w:type="dxa"/>
            <w:tcBorders>
              <w:top w:val="single" w:color="auto" w:sz="4" w:space="0"/>
              <w:left w:val="single" w:color="auto" w:sz="4" w:space="0"/>
              <w:bottom w:val="single" w:color="auto" w:sz="4" w:space="0"/>
              <w:right w:val="single" w:color="auto" w:sz="4" w:space="0"/>
            </w:tcBorders>
            <w:noWrap/>
            <w:vAlign w:val="top"/>
          </w:tcPr>
          <w:p w14:paraId="64A7DD50">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30" w:type="dxa"/>
            <w:tcBorders>
              <w:top w:val="single" w:color="auto" w:sz="4" w:space="0"/>
              <w:left w:val="single" w:color="auto" w:sz="4" w:space="0"/>
              <w:bottom w:val="single" w:color="auto" w:sz="4" w:space="0"/>
              <w:right w:val="single" w:color="auto" w:sz="4" w:space="0"/>
            </w:tcBorders>
            <w:noWrap/>
            <w:vAlign w:val="top"/>
          </w:tcPr>
          <w:p w14:paraId="689AEFD5">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515" w:type="dxa"/>
            <w:tcBorders>
              <w:top w:val="single" w:color="auto" w:sz="4" w:space="0"/>
              <w:left w:val="single" w:color="auto" w:sz="4" w:space="0"/>
              <w:bottom w:val="single" w:color="auto" w:sz="4" w:space="0"/>
              <w:right w:val="single" w:color="auto" w:sz="4" w:space="0"/>
            </w:tcBorders>
            <w:noWrap/>
            <w:vAlign w:val="top"/>
          </w:tcPr>
          <w:p w14:paraId="6C8EBCFE">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ign w:val="top"/>
          </w:tcPr>
          <w:p w14:paraId="01E739D0">
            <w:pPr>
              <w:topLinePunct/>
              <w:autoSpaceDE w:val="0"/>
              <w:autoSpaceDN w:val="0"/>
              <w:spacing w:beforeLines="20" w:after="312" w:line="240" w:lineRule="auto"/>
              <w:jc w:val="center"/>
              <w:rPr>
                <w:rFonts w:hint="default" w:ascii="Times New Roman" w:hAnsi="Times New Roman" w:cs="Times New Roman"/>
                <w:b/>
                <w:bCs/>
                <w:color w:val="auto"/>
                <w:sz w:val="21"/>
                <w:szCs w:val="21"/>
                <w:highlight w:val="none"/>
              </w:rPr>
            </w:pPr>
          </w:p>
        </w:tc>
      </w:tr>
    </w:tbl>
    <w:p w14:paraId="0570F33C">
      <w:pPr>
        <w:topLinePunct/>
        <w:autoSpaceDE w:val="0"/>
        <w:autoSpaceDN w:val="0"/>
        <w:spacing w:after="0"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特别说明：</w:t>
      </w:r>
    </w:p>
    <w:p w14:paraId="236C94A9">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1.商务条款无需条对条应答，如无偏离，请在此表中填写“无偏离”；如有偏离，请在此表中应答为“正/负偏离”并说明偏离情况。</w:t>
      </w:r>
    </w:p>
    <w:p w14:paraId="352B32B5">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2.如《招标文件-商务部分》中有标注★号的，则为实质性要求，必须满足，如应答为“负偏离”，将导致投标无效。</w:t>
      </w:r>
    </w:p>
    <w:p w14:paraId="2A696787">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3.本表可扩展。</w:t>
      </w:r>
    </w:p>
    <w:p w14:paraId="69F27854">
      <w:pPr>
        <w:topLinePunct/>
        <w:autoSpaceDE w:val="0"/>
        <w:autoSpaceDN w:val="0"/>
        <w:spacing w:line="500" w:lineRule="exact"/>
        <w:rPr>
          <w:rFonts w:hAnsi="宋体"/>
          <w:color w:val="auto"/>
          <w:sz w:val="24"/>
          <w:highlight w:val="none"/>
        </w:rPr>
      </w:pPr>
    </w:p>
    <w:p w14:paraId="3668A955">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ascii="宋体" w:hAnsi="宋体"/>
          <w:color w:val="auto"/>
          <w:kern w:val="0"/>
          <w:sz w:val="21"/>
          <w:szCs w:val="21"/>
          <w:highlight w:val="none"/>
        </w:rPr>
        <w:t>（全称并加盖公章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61CF47EB">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olor w:val="auto"/>
          <w:kern w:val="0"/>
          <w:sz w:val="21"/>
          <w:szCs w:val="21"/>
          <w:highlight w:val="none"/>
        </w:rPr>
        <w:t>投标人代表（签字或盖章）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3C2C308D">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7035DD53">
      <w:pPr>
        <w:rPr>
          <w:rFonts w:hAnsi="宋体" w:cs="宋体"/>
          <w:b/>
          <w:bCs/>
          <w:color w:val="auto"/>
          <w:sz w:val="28"/>
          <w:szCs w:val="28"/>
          <w:highlight w:val="none"/>
        </w:rPr>
      </w:pPr>
    </w:p>
    <w:p w14:paraId="2B72A60C">
      <w:pPr>
        <w:snapToGrid w:val="0"/>
        <w:spacing w:after="0" w:line="360" w:lineRule="auto"/>
        <w:jc w:val="center"/>
        <w:rPr>
          <w:rFonts w:hint="default" w:ascii="Times New Roman" w:hAnsi="Times New Roman" w:cs="Times New Roman"/>
          <w:b/>
          <w:bCs/>
          <w:color w:val="auto"/>
          <w:sz w:val="28"/>
          <w:szCs w:val="28"/>
          <w:highlight w:val="none"/>
        </w:rPr>
      </w:pPr>
      <w:r>
        <w:rPr>
          <w:rFonts w:hAnsi="宋体" w:cs="宋体"/>
          <w:b/>
          <w:bCs/>
          <w:color w:val="auto"/>
          <w:sz w:val="28"/>
          <w:szCs w:val="28"/>
          <w:highlight w:val="none"/>
        </w:rPr>
        <w:br w:type="page"/>
      </w:r>
      <w:r>
        <w:rPr>
          <w:rFonts w:hint="default" w:ascii="Times New Roman" w:hAnsi="Times New Roman" w:cs="Times New Roman"/>
          <w:b/>
          <w:bCs/>
          <w:color w:val="auto"/>
          <w:sz w:val="28"/>
          <w:szCs w:val="28"/>
          <w:highlight w:val="none"/>
        </w:rPr>
        <w:t>格式5  投标人具备投标资格证明文件</w:t>
      </w:r>
    </w:p>
    <w:p w14:paraId="205CA8E1">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5-1投标人基本情况</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4"/>
        <w:gridCol w:w="567"/>
        <w:gridCol w:w="1560"/>
        <w:gridCol w:w="1701"/>
        <w:gridCol w:w="2696"/>
      </w:tblGrid>
      <w:tr w14:paraId="3464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466D22D0">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供应商名称</w:t>
            </w:r>
          </w:p>
        </w:tc>
        <w:tc>
          <w:tcPr>
            <w:tcW w:w="1234" w:type="pct"/>
            <w:gridSpan w:val="2"/>
            <w:noWrap w:val="0"/>
            <w:vAlign w:val="center"/>
          </w:tcPr>
          <w:p w14:paraId="2B08A1F2">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78EC19C6">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法定代表人</w:t>
            </w:r>
          </w:p>
        </w:tc>
        <w:tc>
          <w:tcPr>
            <w:tcW w:w="1564" w:type="pct"/>
            <w:noWrap w:val="0"/>
            <w:vAlign w:val="center"/>
          </w:tcPr>
          <w:p w14:paraId="76733945">
            <w:pPr>
              <w:pStyle w:val="10"/>
              <w:spacing w:line="360" w:lineRule="auto"/>
              <w:jc w:val="center"/>
              <w:rPr>
                <w:rFonts w:ascii="Times New Roman" w:hAnsi="Times New Roman"/>
                <w:color w:val="auto"/>
                <w:sz w:val="21"/>
                <w:szCs w:val="21"/>
                <w:highlight w:val="none"/>
              </w:rPr>
            </w:pPr>
          </w:p>
        </w:tc>
      </w:tr>
      <w:tr w14:paraId="7635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26ED99D0">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统一社会信用代码</w:t>
            </w:r>
          </w:p>
        </w:tc>
        <w:tc>
          <w:tcPr>
            <w:tcW w:w="1234" w:type="pct"/>
            <w:gridSpan w:val="2"/>
            <w:noWrap w:val="0"/>
            <w:vAlign w:val="center"/>
          </w:tcPr>
          <w:p w14:paraId="43879677">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57A5B005">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邮政编码</w:t>
            </w:r>
          </w:p>
        </w:tc>
        <w:tc>
          <w:tcPr>
            <w:tcW w:w="1564" w:type="pct"/>
            <w:noWrap w:val="0"/>
            <w:vAlign w:val="center"/>
          </w:tcPr>
          <w:p w14:paraId="4A932AAC">
            <w:pPr>
              <w:pStyle w:val="10"/>
              <w:spacing w:line="360" w:lineRule="auto"/>
              <w:jc w:val="center"/>
              <w:rPr>
                <w:rFonts w:ascii="Times New Roman" w:hAnsi="Times New Roman"/>
                <w:color w:val="auto"/>
                <w:sz w:val="21"/>
                <w:szCs w:val="21"/>
                <w:highlight w:val="none"/>
              </w:rPr>
            </w:pPr>
          </w:p>
        </w:tc>
      </w:tr>
      <w:tr w14:paraId="3C31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29B02C44">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授权代表</w:t>
            </w:r>
          </w:p>
        </w:tc>
        <w:tc>
          <w:tcPr>
            <w:tcW w:w="1234" w:type="pct"/>
            <w:gridSpan w:val="2"/>
            <w:noWrap w:val="0"/>
            <w:vAlign w:val="center"/>
          </w:tcPr>
          <w:p w14:paraId="7339B838">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4DB1C028">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联系电话</w:t>
            </w:r>
          </w:p>
        </w:tc>
        <w:tc>
          <w:tcPr>
            <w:tcW w:w="1564" w:type="pct"/>
            <w:noWrap w:val="0"/>
            <w:vAlign w:val="center"/>
          </w:tcPr>
          <w:p w14:paraId="7F860EF3">
            <w:pPr>
              <w:pStyle w:val="10"/>
              <w:spacing w:line="360" w:lineRule="auto"/>
              <w:jc w:val="center"/>
              <w:rPr>
                <w:rFonts w:ascii="Times New Roman" w:hAnsi="Times New Roman"/>
                <w:color w:val="auto"/>
                <w:sz w:val="21"/>
                <w:szCs w:val="21"/>
                <w:highlight w:val="none"/>
              </w:rPr>
            </w:pPr>
          </w:p>
        </w:tc>
      </w:tr>
      <w:tr w14:paraId="68F0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2050B7EA">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电子邮箱</w:t>
            </w:r>
          </w:p>
        </w:tc>
        <w:tc>
          <w:tcPr>
            <w:tcW w:w="1234" w:type="pct"/>
            <w:gridSpan w:val="2"/>
            <w:noWrap w:val="0"/>
            <w:vAlign w:val="center"/>
          </w:tcPr>
          <w:p w14:paraId="25700DDF">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22A5F7F3">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传真</w:t>
            </w:r>
          </w:p>
        </w:tc>
        <w:tc>
          <w:tcPr>
            <w:tcW w:w="1564" w:type="pct"/>
            <w:noWrap w:val="0"/>
            <w:vAlign w:val="center"/>
          </w:tcPr>
          <w:p w14:paraId="33B51953">
            <w:pPr>
              <w:pStyle w:val="10"/>
              <w:spacing w:line="360" w:lineRule="auto"/>
              <w:jc w:val="center"/>
              <w:rPr>
                <w:rFonts w:ascii="Times New Roman" w:hAnsi="Times New Roman"/>
                <w:color w:val="auto"/>
                <w:sz w:val="21"/>
                <w:szCs w:val="21"/>
                <w:highlight w:val="none"/>
              </w:rPr>
            </w:pPr>
          </w:p>
        </w:tc>
      </w:tr>
      <w:tr w14:paraId="3428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7A44FF14">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上年营业收入</w:t>
            </w:r>
          </w:p>
        </w:tc>
        <w:tc>
          <w:tcPr>
            <w:tcW w:w="1234" w:type="pct"/>
            <w:gridSpan w:val="2"/>
            <w:noWrap w:val="0"/>
            <w:vAlign w:val="center"/>
          </w:tcPr>
          <w:p w14:paraId="122484EA">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21E5F59E">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员工总人数</w:t>
            </w:r>
          </w:p>
        </w:tc>
        <w:tc>
          <w:tcPr>
            <w:tcW w:w="1564" w:type="pct"/>
            <w:noWrap w:val="0"/>
            <w:vAlign w:val="center"/>
          </w:tcPr>
          <w:p w14:paraId="3E2DB924">
            <w:pPr>
              <w:pStyle w:val="10"/>
              <w:spacing w:line="360" w:lineRule="auto"/>
              <w:jc w:val="center"/>
              <w:rPr>
                <w:rFonts w:ascii="Times New Roman" w:hAnsi="Times New Roman"/>
                <w:color w:val="auto"/>
                <w:sz w:val="21"/>
                <w:szCs w:val="21"/>
                <w:highlight w:val="none"/>
              </w:rPr>
            </w:pPr>
          </w:p>
        </w:tc>
      </w:tr>
      <w:tr w14:paraId="3B99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678BE7C0">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基本账户开户行及账号</w:t>
            </w:r>
          </w:p>
        </w:tc>
        <w:tc>
          <w:tcPr>
            <w:tcW w:w="3456" w:type="pct"/>
            <w:gridSpan w:val="3"/>
            <w:noWrap w:val="0"/>
            <w:vAlign w:val="center"/>
          </w:tcPr>
          <w:p w14:paraId="1198AA73">
            <w:pPr>
              <w:pStyle w:val="10"/>
              <w:spacing w:line="360" w:lineRule="auto"/>
              <w:jc w:val="center"/>
              <w:rPr>
                <w:rFonts w:ascii="Times New Roman" w:hAnsi="Times New Roman"/>
                <w:color w:val="auto"/>
                <w:sz w:val="21"/>
                <w:szCs w:val="21"/>
                <w:highlight w:val="none"/>
              </w:rPr>
            </w:pPr>
          </w:p>
        </w:tc>
      </w:tr>
      <w:tr w14:paraId="5D20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74F06358">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税务登记机关</w:t>
            </w:r>
          </w:p>
        </w:tc>
        <w:tc>
          <w:tcPr>
            <w:tcW w:w="3456" w:type="pct"/>
            <w:gridSpan w:val="3"/>
            <w:noWrap w:val="0"/>
            <w:vAlign w:val="center"/>
          </w:tcPr>
          <w:p w14:paraId="0F80E257">
            <w:pPr>
              <w:pStyle w:val="10"/>
              <w:spacing w:line="360" w:lineRule="auto"/>
              <w:jc w:val="center"/>
              <w:rPr>
                <w:rFonts w:ascii="Times New Roman" w:hAnsi="Times New Roman"/>
                <w:color w:val="auto"/>
                <w:sz w:val="21"/>
                <w:szCs w:val="21"/>
                <w:highlight w:val="none"/>
              </w:rPr>
            </w:pPr>
          </w:p>
        </w:tc>
      </w:tr>
      <w:tr w14:paraId="6A04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7F560095">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资质名称</w:t>
            </w:r>
          </w:p>
        </w:tc>
        <w:tc>
          <w:tcPr>
            <w:tcW w:w="905" w:type="pct"/>
            <w:noWrap w:val="0"/>
            <w:vAlign w:val="center"/>
          </w:tcPr>
          <w:p w14:paraId="447242DC">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等级</w:t>
            </w:r>
          </w:p>
        </w:tc>
        <w:tc>
          <w:tcPr>
            <w:tcW w:w="987" w:type="pct"/>
            <w:noWrap w:val="0"/>
            <w:vAlign w:val="center"/>
          </w:tcPr>
          <w:p w14:paraId="05CCA652">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发证机关</w:t>
            </w:r>
          </w:p>
        </w:tc>
        <w:tc>
          <w:tcPr>
            <w:tcW w:w="1564" w:type="pct"/>
            <w:noWrap w:val="0"/>
            <w:vAlign w:val="center"/>
          </w:tcPr>
          <w:p w14:paraId="2ED83F22">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有效期</w:t>
            </w:r>
          </w:p>
        </w:tc>
      </w:tr>
      <w:tr w14:paraId="59CC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74B9CB4E">
            <w:pPr>
              <w:pStyle w:val="10"/>
              <w:spacing w:line="360" w:lineRule="auto"/>
              <w:jc w:val="center"/>
              <w:rPr>
                <w:rFonts w:ascii="Times New Roman" w:hAnsi="Times New Roman"/>
                <w:color w:val="auto"/>
                <w:sz w:val="21"/>
                <w:szCs w:val="21"/>
                <w:highlight w:val="none"/>
              </w:rPr>
            </w:pPr>
          </w:p>
        </w:tc>
        <w:tc>
          <w:tcPr>
            <w:tcW w:w="905" w:type="pct"/>
            <w:noWrap w:val="0"/>
            <w:vAlign w:val="center"/>
          </w:tcPr>
          <w:p w14:paraId="69084F01">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703A34E6">
            <w:pPr>
              <w:pStyle w:val="10"/>
              <w:spacing w:line="360" w:lineRule="auto"/>
              <w:jc w:val="center"/>
              <w:rPr>
                <w:rFonts w:ascii="Times New Roman" w:hAnsi="Times New Roman"/>
                <w:color w:val="auto"/>
                <w:sz w:val="21"/>
                <w:szCs w:val="21"/>
                <w:highlight w:val="none"/>
              </w:rPr>
            </w:pPr>
          </w:p>
        </w:tc>
        <w:tc>
          <w:tcPr>
            <w:tcW w:w="1564" w:type="pct"/>
            <w:noWrap w:val="0"/>
            <w:vAlign w:val="center"/>
          </w:tcPr>
          <w:p w14:paraId="6AE89EAD">
            <w:pPr>
              <w:pStyle w:val="10"/>
              <w:spacing w:line="360" w:lineRule="auto"/>
              <w:jc w:val="center"/>
              <w:rPr>
                <w:rFonts w:ascii="Times New Roman" w:hAnsi="Times New Roman"/>
                <w:color w:val="auto"/>
                <w:sz w:val="21"/>
                <w:szCs w:val="21"/>
                <w:highlight w:val="none"/>
              </w:rPr>
            </w:pPr>
          </w:p>
        </w:tc>
      </w:tr>
      <w:tr w14:paraId="607E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4" w:type="pct"/>
            <w:gridSpan w:val="2"/>
            <w:noWrap w:val="0"/>
            <w:vAlign w:val="center"/>
          </w:tcPr>
          <w:p w14:paraId="44039F05">
            <w:pPr>
              <w:pStyle w:val="10"/>
              <w:spacing w:line="360" w:lineRule="auto"/>
              <w:jc w:val="center"/>
              <w:rPr>
                <w:rFonts w:ascii="Times New Roman" w:hAnsi="Times New Roman"/>
                <w:color w:val="auto"/>
                <w:sz w:val="21"/>
                <w:szCs w:val="21"/>
                <w:highlight w:val="none"/>
              </w:rPr>
            </w:pPr>
          </w:p>
        </w:tc>
        <w:tc>
          <w:tcPr>
            <w:tcW w:w="905" w:type="pct"/>
            <w:noWrap w:val="0"/>
            <w:vAlign w:val="center"/>
          </w:tcPr>
          <w:p w14:paraId="5A2AD3CE">
            <w:pPr>
              <w:pStyle w:val="10"/>
              <w:spacing w:line="360" w:lineRule="auto"/>
              <w:jc w:val="center"/>
              <w:rPr>
                <w:rFonts w:ascii="Times New Roman" w:hAnsi="Times New Roman"/>
                <w:color w:val="auto"/>
                <w:sz w:val="21"/>
                <w:szCs w:val="21"/>
                <w:highlight w:val="none"/>
              </w:rPr>
            </w:pPr>
          </w:p>
        </w:tc>
        <w:tc>
          <w:tcPr>
            <w:tcW w:w="987" w:type="pct"/>
            <w:noWrap w:val="0"/>
            <w:vAlign w:val="center"/>
          </w:tcPr>
          <w:p w14:paraId="2E352707">
            <w:pPr>
              <w:pStyle w:val="10"/>
              <w:spacing w:line="360" w:lineRule="auto"/>
              <w:jc w:val="center"/>
              <w:rPr>
                <w:rFonts w:ascii="Times New Roman" w:hAnsi="Times New Roman"/>
                <w:color w:val="auto"/>
                <w:sz w:val="21"/>
                <w:szCs w:val="21"/>
                <w:highlight w:val="none"/>
              </w:rPr>
            </w:pPr>
          </w:p>
        </w:tc>
        <w:tc>
          <w:tcPr>
            <w:tcW w:w="1564" w:type="pct"/>
            <w:noWrap w:val="0"/>
            <w:vAlign w:val="center"/>
          </w:tcPr>
          <w:p w14:paraId="530C3B85">
            <w:pPr>
              <w:pStyle w:val="10"/>
              <w:spacing w:line="360" w:lineRule="auto"/>
              <w:jc w:val="center"/>
              <w:rPr>
                <w:rFonts w:ascii="Times New Roman" w:hAnsi="Times New Roman"/>
                <w:color w:val="auto"/>
                <w:sz w:val="21"/>
                <w:szCs w:val="21"/>
                <w:highlight w:val="none"/>
              </w:rPr>
            </w:pPr>
          </w:p>
        </w:tc>
      </w:tr>
      <w:tr w14:paraId="5E15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noWrap w:val="0"/>
            <w:vAlign w:val="center"/>
          </w:tcPr>
          <w:p w14:paraId="3846E601">
            <w:pPr>
              <w:pStyle w:val="10"/>
              <w:spacing w:line="360" w:lineRule="auto"/>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备注</w:t>
            </w:r>
          </w:p>
        </w:tc>
        <w:tc>
          <w:tcPr>
            <w:tcW w:w="3785" w:type="pct"/>
            <w:gridSpan w:val="4"/>
            <w:noWrap w:val="0"/>
            <w:vAlign w:val="center"/>
          </w:tcPr>
          <w:p w14:paraId="120C0A81">
            <w:pPr>
              <w:pStyle w:val="10"/>
              <w:spacing w:line="360" w:lineRule="auto"/>
              <w:jc w:val="center"/>
              <w:rPr>
                <w:rFonts w:ascii="Times New Roman" w:hAnsi="Times New Roman"/>
                <w:color w:val="auto"/>
                <w:sz w:val="21"/>
                <w:szCs w:val="21"/>
                <w:highlight w:val="none"/>
              </w:rPr>
            </w:pPr>
          </w:p>
        </w:tc>
      </w:tr>
    </w:tbl>
    <w:p w14:paraId="4E1E4E52">
      <w:pPr>
        <w:topLinePunct/>
        <w:autoSpaceDE w:val="0"/>
        <w:autoSpaceDN w:val="0"/>
        <w:spacing w:line="500" w:lineRule="exact"/>
        <w:rPr>
          <w:rFonts w:hAnsi="宋体"/>
          <w:color w:val="auto"/>
          <w:sz w:val="24"/>
          <w:highlight w:val="none"/>
        </w:rPr>
      </w:pPr>
    </w:p>
    <w:p w14:paraId="5A545EE0">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ascii="宋体" w:hAnsi="宋体"/>
          <w:color w:val="auto"/>
          <w:kern w:val="0"/>
          <w:sz w:val="21"/>
          <w:szCs w:val="21"/>
          <w:highlight w:val="none"/>
        </w:rPr>
        <w:t>（全称并加盖公章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8AFC4E1">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olor w:val="auto"/>
          <w:kern w:val="0"/>
          <w:sz w:val="21"/>
          <w:szCs w:val="21"/>
          <w:highlight w:val="none"/>
        </w:rPr>
        <w:t>投标人代表（签字或盖章）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28973B0E">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50F2760A">
      <w:pPr>
        <w:pStyle w:val="10"/>
        <w:ind w:firstLine="420" w:firstLineChars="200"/>
        <w:rPr>
          <w:rFonts w:ascii="Times New Roman" w:hAnsi="Times New Roman"/>
          <w:color w:val="auto"/>
          <w:sz w:val="21"/>
          <w:szCs w:val="21"/>
          <w:highlight w:val="none"/>
        </w:rPr>
      </w:pPr>
    </w:p>
    <w:p w14:paraId="7C6E16B5">
      <w:pPr>
        <w:widowControl/>
        <w:spacing w:after="0" w:line="240" w:lineRule="auto"/>
        <w:jc w:val="center"/>
        <w:rPr>
          <w:rFonts w:hint="default" w:ascii="Times New Roman" w:hAnsi="Times New Roman" w:cs="Times New Roman"/>
          <w:b/>
          <w:bCs/>
          <w:color w:val="auto"/>
          <w:sz w:val="28"/>
          <w:szCs w:val="28"/>
          <w:highlight w:val="none"/>
        </w:rPr>
      </w:pPr>
      <w:r>
        <w:rPr>
          <w:rFonts w:ascii="宋体" w:hAnsi="宋体" w:cs="宋体"/>
          <w:b/>
          <w:bCs/>
          <w:color w:val="auto"/>
          <w:sz w:val="36"/>
          <w:szCs w:val="36"/>
          <w:highlight w:val="none"/>
        </w:rPr>
        <w:br w:type="page"/>
      </w: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2</w:t>
      </w:r>
      <w:r>
        <w:rPr>
          <w:rFonts w:hint="default" w:ascii="Times New Roman" w:hAnsi="Times New Roman" w:cs="Times New Roman"/>
          <w:b/>
          <w:bCs/>
          <w:color w:val="auto"/>
          <w:sz w:val="28"/>
          <w:szCs w:val="28"/>
          <w:highlight w:val="none"/>
        </w:rPr>
        <w:t xml:space="preserve"> 财务状况报告</w:t>
      </w:r>
    </w:p>
    <w:p w14:paraId="0F241BC2">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根据资格条件要求提供相应材料。</w:t>
      </w:r>
    </w:p>
    <w:p w14:paraId="0599F130">
      <w:pPr>
        <w:spacing w:line="360" w:lineRule="auto"/>
        <w:ind w:firstLine="480" w:firstLineChars="200"/>
        <w:jc w:val="left"/>
        <w:rPr>
          <w:rFonts w:hint="default" w:ascii="Times New Roman" w:hAnsi="Times New Roman" w:cs="Times New Roman"/>
          <w:color w:val="auto"/>
          <w:kern w:val="0"/>
          <w:sz w:val="24"/>
          <w:highlight w:val="none"/>
        </w:rPr>
      </w:pPr>
    </w:p>
    <w:p w14:paraId="0A5927CF">
      <w:pPr>
        <w:spacing w:line="360" w:lineRule="auto"/>
        <w:ind w:firstLine="480" w:firstLineChars="200"/>
        <w:jc w:val="left"/>
        <w:rPr>
          <w:rFonts w:hint="default" w:ascii="Times New Roman" w:hAnsi="Times New Roman" w:cs="Times New Roman"/>
          <w:color w:val="auto"/>
          <w:kern w:val="0"/>
          <w:sz w:val="24"/>
          <w:highlight w:val="none"/>
        </w:rPr>
      </w:pPr>
    </w:p>
    <w:p w14:paraId="7BC84CCF">
      <w:pPr>
        <w:spacing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3</w:t>
      </w:r>
      <w:r>
        <w:rPr>
          <w:rFonts w:hint="default" w:ascii="Times New Roman" w:hAnsi="Times New Roman" w:cs="Times New Roman"/>
          <w:b/>
          <w:bCs/>
          <w:color w:val="auto"/>
          <w:sz w:val="28"/>
          <w:szCs w:val="28"/>
          <w:highlight w:val="none"/>
        </w:rPr>
        <w:t>依法缴纳税收的相关材料</w:t>
      </w:r>
    </w:p>
    <w:p w14:paraId="7D413A95">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根据资格条件要求提供相应材料。</w:t>
      </w:r>
    </w:p>
    <w:p w14:paraId="37BF27D4">
      <w:pPr>
        <w:spacing w:line="360" w:lineRule="auto"/>
        <w:ind w:firstLine="480" w:firstLineChars="200"/>
        <w:jc w:val="left"/>
        <w:rPr>
          <w:rFonts w:hint="default" w:ascii="Times New Roman" w:hAnsi="Times New Roman" w:cs="Times New Roman"/>
          <w:color w:val="auto"/>
          <w:kern w:val="0"/>
          <w:sz w:val="24"/>
          <w:highlight w:val="none"/>
        </w:rPr>
      </w:pPr>
    </w:p>
    <w:p w14:paraId="5CFE3496">
      <w:pPr>
        <w:spacing w:line="360" w:lineRule="auto"/>
        <w:ind w:firstLine="480" w:firstLineChars="200"/>
        <w:jc w:val="left"/>
        <w:rPr>
          <w:rFonts w:hint="default" w:ascii="Times New Roman" w:hAnsi="Times New Roman" w:cs="Times New Roman"/>
          <w:color w:val="auto"/>
          <w:kern w:val="0"/>
          <w:sz w:val="24"/>
          <w:highlight w:val="none"/>
        </w:rPr>
      </w:pPr>
    </w:p>
    <w:p w14:paraId="78A2B2F7">
      <w:pPr>
        <w:spacing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4</w:t>
      </w:r>
      <w:r>
        <w:rPr>
          <w:rFonts w:hint="default" w:ascii="Times New Roman" w:hAnsi="Times New Roman" w:cs="Times New Roman"/>
          <w:b/>
          <w:bCs/>
          <w:color w:val="auto"/>
          <w:sz w:val="28"/>
          <w:szCs w:val="28"/>
          <w:highlight w:val="none"/>
        </w:rPr>
        <w:t>依法缴纳社会保障资金的相关材料</w:t>
      </w:r>
    </w:p>
    <w:p w14:paraId="5E1CF773">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根据资格条件要求提供相应材料。</w:t>
      </w:r>
    </w:p>
    <w:p w14:paraId="2446ACCC">
      <w:pPr>
        <w:spacing w:line="360" w:lineRule="auto"/>
        <w:ind w:firstLine="480" w:firstLineChars="200"/>
        <w:jc w:val="left"/>
        <w:rPr>
          <w:rFonts w:hint="default" w:ascii="Times New Roman" w:hAnsi="Times New Roman" w:cs="Times New Roman"/>
          <w:color w:val="auto"/>
          <w:kern w:val="0"/>
          <w:sz w:val="24"/>
          <w:highlight w:val="none"/>
        </w:rPr>
      </w:pPr>
    </w:p>
    <w:p w14:paraId="65070645">
      <w:pPr>
        <w:spacing w:line="360" w:lineRule="auto"/>
        <w:ind w:firstLine="480" w:firstLineChars="200"/>
        <w:jc w:val="left"/>
        <w:rPr>
          <w:rFonts w:hint="default" w:ascii="Times New Roman" w:hAnsi="Times New Roman" w:cs="Times New Roman"/>
          <w:color w:val="auto"/>
          <w:kern w:val="0"/>
          <w:sz w:val="24"/>
          <w:highlight w:val="none"/>
        </w:rPr>
      </w:pPr>
    </w:p>
    <w:p w14:paraId="64EA95C2">
      <w:pPr>
        <w:spacing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5</w:t>
      </w:r>
      <w:r>
        <w:rPr>
          <w:rFonts w:hint="default" w:ascii="Times New Roman" w:hAnsi="Times New Roman" w:cs="Times New Roman"/>
          <w:b/>
          <w:bCs/>
          <w:color w:val="auto"/>
          <w:sz w:val="28"/>
          <w:szCs w:val="28"/>
          <w:highlight w:val="none"/>
        </w:rPr>
        <w:t>具备履行合同所必需的设备和专业技术能力的证明材料</w:t>
      </w:r>
    </w:p>
    <w:p w14:paraId="0E80A84B">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根据资格条件要求提供相应材料。</w:t>
      </w:r>
    </w:p>
    <w:p w14:paraId="3616F130">
      <w:pPr>
        <w:adjustRightInd w:val="0"/>
        <w:snapToGrid w:val="0"/>
        <w:spacing w:after="0" w:line="360" w:lineRule="auto"/>
        <w:jc w:val="center"/>
        <w:rPr>
          <w:rFonts w:hint="default" w:ascii="Times New Roman" w:hAnsi="Times New Roman" w:cs="Times New Roman"/>
          <w:b/>
          <w:bCs/>
          <w:color w:val="auto"/>
          <w:sz w:val="28"/>
          <w:szCs w:val="28"/>
          <w:highlight w:val="none"/>
        </w:rPr>
      </w:pPr>
      <w:r>
        <w:rPr>
          <w:rFonts w:ascii="宋体" w:hAnsi="宋体" w:cs="宋体"/>
          <w:b/>
          <w:bCs/>
          <w:color w:val="auto"/>
          <w:sz w:val="36"/>
          <w:szCs w:val="36"/>
          <w:highlight w:val="none"/>
        </w:rPr>
        <w:br w:type="page"/>
      </w: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6</w:t>
      </w:r>
      <w:r>
        <w:rPr>
          <w:rFonts w:hint="default" w:ascii="Times New Roman" w:hAnsi="Times New Roman" w:cs="Times New Roman"/>
          <w:b/>
          <w:bCs/>
          <w:color w:val="auto"/>
          <w:sz w:val="28"/>
          <w:szCs w:val="28"/>
          <w:highlight w:val="none"/>
        </w:rPr>
        <w:t>参加本次政府采购活动前三年内在经营活动中</w:t>
      </w:r>
    </w:p>
    <w:p w14:paraId="474307FE">
      <w:pPr>
        <w:snapToGrid w:val="0"/>
        <w:spacing w:after="0" w:line="360" w:lineRule="auto"/>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没有重大违法记录的书面声明</w:t>
      </w:r>
    </w:p>
    <w:p w14:paraId="54431D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4630B14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color w:val="auto"/>
          <w:highlight w:val="none"/>
        </w:rPr>
      </w:pPr>
      <w:r>
        <w:rPr>
          <w:rFonts w:hint="eastAsia"/>
          <w:color w:val="auto"/>
          <w:highlight w:val="none"/>
        </w:rPr>
        <w:t>致________（采购人或采购代理机构）：</w:t>
      </w:r>
    </w:p>
    <w:p w14:paraId="595519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我单位在参加本次采购活动前三年内在经营活动中没有《政府采购法》第二十二条第一款第（五）项所称重大违法记录，包括：</w:t>
      </w:r>
    </w:p>
    <w:p w14:paraId="41A214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我单位未因经营活动中的违法行为受到刑事处罚或者责令停产停业、吊销许可证或者执照、较大数额罚款等行政处罚。</w:t>
      </w:r>
    </w:p>
    <w:p w14:paraId="00388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特此声明！</w:t>
      </w:r>
    </w:p>
    <w:p w14:paraId="4314AB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33C953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（请投标人根据实际情况如实声明，否则视为提供虚假材料。）</w:t>
      </w:r>
    </w:p>
    <w:p w14:paraId="2F4148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p>
    <w:p w14:paraId="6AC5FC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投标人</w:t>
      </w:r>
      <w:r>
        <w:rPr>
          <w:color w:val="auto"/>
          <w:highlight w:val="none"/>
        </w:rPr>
        <w:t>（全称并加盖公章</w:t>
      </w:r>
      <w:r>
        <w:rPr>
          <w:rFonts w:hint="eastAsia"/>
          <w:color w:val="auto"/>
          <w:highlight w:val="none"/>
        </w:rPr>
        <w:t xml:space="preserve">）：             </w:t>
      </w:r>
    </w:p>
    <w:p w14:paraId="509228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 xml:space="preserve">投标人代表（签字或盖章）：             </w:t>
      </w:r>
    </w:p>
    <w:p w14:paraId="61BBF6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highlight w:val="none"/>
        </w:rPr>
      </w:pPr>
      <w:r>
        <w:rPr>
          <w:rFonts w:hint="eastAsia"/>
          <w:color w:val="auto"/>
          <w:highlight w:val="none"/>
        </w:rPr>
        <w:t xml:space="preserve">日期：                                 </w:t>
      </w:r>
    </w:p>
    <w:p w14:paraId="32F2C19F">
      <w:pPr>
        <w:widowControl/>
        <w:spacing w:after="0" w:line="240" w:lineRule="auto"/>
        <w:jc w:val="center"/>
        <w:rPr>
          <w:rFonts w:ascii="宋体" w:hAnsi="宋体" w:cs="宋体"/>
          <w:b/>
          <w:bCs/>
          <w:color w:val="auto"/>
          <w:sz w:val="28"/>
          <w:szCs w:val="28"/>
          <w:highlight w:val="none"/>
        </w:rPr>
      </w:pPr>
      <w:r>
        <w:rPr>
          <w:rFonts w:hAnsi="宋体" w:cs="宋体"/>
          <w:color w:val="auto"/>
          <w:sz w:val="21"/>
          <w:szCs w:val="21"/>
          <w:highlight w:val="none"/>
        </w:rPr>
        <w:br w:type="page"/>
      </w: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7</w:t>
      </w:r>
      <w:r>
        <w:rPr>
          <w:rFonts w:hint="default" w:ascii="Times New Roman" w:hAnsi="Times New Roman" w:cs="Times New Roman"/>
          <w:b/>
          <w:bCs/>
          <w:color w:val="auto"/>
          <w:sz w:val="28"/>
          <w:szCs w:val="28"/>
          <w:highlight w:val="none"/>
        </w:rPr>
        <w:t>具备法律、行政法规规定的其他条件的证明材料</w:t>
      </w:r>
    </w:p>
    <w:p w14:paraId="07A4AA6F">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根据资格条件要求提供相应材料。</w:t>
      </w:r>
    </w:p>
    <w:p w14:paraId="48D0F1BC">
      <w:pPr>
        <w:widowControl/>
        <w:spacing w:after="0" w:line="240" w:lineRule="auto"/>
        <w:jc w:val="center"/>
        <w:rPr>
          <w:rFonts w:hint="default" w:ascii="Times New Roman" w:hAnsi="Times New Roman" w:cs="Times New Roman"/>
          <w:b/>
          <w:bCs/>
          <w:color w:val="auto"/>
          <w:sz w:val="28"/>
          <w:szCs w:val="28"/>
          <w:highlight w:val="none"/>
        </w:rPr>
      </w:pPr>
      <w:r>
        <w:rPr>
          <w:rFonts w:ascii="宋体" w:hAnsi="宋体" w:cs="宋体"/>
          <w:b/>
          <w:bCs/>
          <w:color w:val="auto"/>
          <w:sz w:val="36"/>
          <w:szCs w:val="36"/>
          <w:highlight w:val="none"/>
        </w:rPr>
        <w:br w:type="page"/>
      </w: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8</w:t>
      </w:r>
      <w:r>
        <w:rPr>
          <w:rFonts w:hint="default" w:ascii="Times New Roman" w:hAnsi="Times New Roman" w:cs="Times New Roman"/>
          <w:b/>
          <w:bCs/>
          <w:color w:val="auto"/>
          <w:sz w:val="28"/>
          <w:szCs w:val="28"/>
          <w:highlight w:val="none"/>
        </w:rPr>
        <w:t>联合体协议（若有）</w:t>
      </w:r>
    </w:p>
    <w:p w14:paraId="4EB8B36A">
      <w:pPr>
        <w:pStyle w:val="10"/>
        <w:topLinePunct/>
        <w:autoSpaceDE w:val="0"/>
        <w:autoSpaceDN w:val="0"/>
        <w:snapToGrid w:val="0"/>
        <w:spacing w:line="360" w:lineRule="auto"/>
        <w:jc w:val="center"/>
        <w:rPr>
          <w:rFonts w:hAnsi="宋体" w:cs="宋体"/>
          <w:b/>
          <w:color w:val="auto"/>
          <w:w w:val="150"/>
          <w:sz w:val="24"/>
          <w:highlight w:val="none"/>
        </w:rPr>
      </w:pPr>
    </w:p>
    <w:p w14:paraId="4CC14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致________（采购人或采购代理机构）：</w:t>
      </w:r>
    </w:p>
    <w:p w14:paraId="1C265361">
      <w:pPr>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经研究，我方决定自愿组成联合体共同参加____________(项目名称、项目编号)项目的投标。现就联合体投标事宜订立如下协议：</w:t>
      </w:r>
    </w:p>
    <w:p w14:paraId="64671883">
      <w:pPr>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一、联合体成员：</w:t>
      </w:r>
    </w:p>
    <w:p w14:paraId="06A26996">
      <w:pPr>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1.____________________</w:t>
      </w:r>
    </w:p>
    <w:p w14:paraId="5B62F044">
      <w:pPr>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2.____________________</w:t>
      </w:r>
    </w:p>
    <w:p w14:paraId="795A1214">
      <w:pPr>
        <w:spacing w:after="0" w:line="360" w:lineRule="auto"/>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3.____________________</w:t>
      </w:r>
    </w:p>
    <w:p w14:paraId="7EB5FCE2">
      <w:pPr>
        <w:spacing w:after="0" w:line="360" w:lineRule="auto"/>
        <w:ind w:firstLine="420" w:firstLineChars="200"/>
        <w:rPr>
          <w:rFonts w:ascii="宋体" w:hAnsi="宋体" w:eastAsia="宋体"/>
          <w:color w:val="auto"/>
          <w:sz w:val="21"/>
          <w:szCs w:val="21"/>
          <w:highlight w:val="none"/>
        </w:rPr>
      </w:pPr>
      <w:r>
        <w:rPr>
          <w:rFonts w:hint="default" w:ascii="Times New Roman" w:hAnsi="Times New Roman" w:eastAsia="宋体" w:cs="Times New Roman"/>
          <w:color w:val="auto"/>
          <w:sz w:val="21"/>
          <w:szCs w:val="21"/>
          <w:highlight w:val="none"/>
        </w:rPr>
        <w:t>二、____________(某成员单位名称)为____________(联合</w:t>
      </w:r>
      <w:r>
        <w:rPr>
          <w:rFonts w:hint="eastAsia" w:ascii="宋体" w:hAnsi="宋体" w:eastAsia="宋体"/>
          <w:color w:val="auto"/>
          <w:sz w:val="21"/>
          <w:szCs w:val="21"/>
          <w:highlight w:val="none"/>
        </w:rPr>
        <w:t>体名称)牵头人。</w:t>
      </w:r>
    </w:p>
    <w:p w14:paraId="7A30A1E7">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三、联合体牵头人合法代表联合体各成员负责本项目投标文件编制活动，代表联合体提交和接收相关的资料、信息及指示，并处理与投标有关的一切事务；联合体中标后，联合体牵头人负责合同订立和实施阶段的主办、组织和协调工作。</w:t>
      </w:r>
    </w:p>
    <w:p w14:paraId="012277EB">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四、联合体将严格按照招标文件的各项要求，递交投标文件，参加投标，履行中标义务和中标后的合同，并向采购人承担连带责任。</w:t>
      </w:r>
    </w:p>
    <w:p w14:paraId="2908BC64">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五、联合体各成员单位内部的职责分工如下：____________。按照本条上述分工，联合体成员单位各自所承担的合同工作量比例如下：____________。</w:t>
      </w:r>
    </w:p>
    <w:p w14:paraId="2CA0E2C4">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六、本协议书自签署之日起生效，合同履行完毕后自动失效。</w:t>
      </w:r>
    </w:p>
    <w:p w14:paraId="71C7F3E5">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七、本协议书一式______份，联合体成员和采购人各执一份。</w:t>
      </w:r>
    </w:p>
    <w:p w14:paraId="75D032B8">
      <w:pPr>
        <w:spacing w:after="0" w:line="360" w:lineRule="auto"/>
        <w:ind w:firstLine="420" w:firstLineChars="200"/>
        <w:rPr>
          <w:rFonts w:ascii="宋体" w:hAnsi="宋体" w:eastAsia="宋体"/>
          <w:color w:val="auto"/>
          <w:sz w:val="21"/>
          <w:szCs w:val="21"/>
          <w:highlight w:val="none"/>
        </w:rPr>
      </w:pPr>
    </w:p>
    <w:p w14:paraId="14A91A36">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牵头人名称(公章)：____________</w:t>
      </w:r>
    </w:p>
    <w:p w14:paraId="28C69545">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法定代表人或其授权代表(签字或盖章)：____________</w:t>
      </w:r>
    </w:p>
    <w:p w14:paraId="3A5AFB05">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成员名称(公章)：____________</w:t>
      </w:r>
    </w:p>
    <w:p w14:paraId="4785C5A8">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法定代表人或其授权代表(签字或盖章)：____________</w:t>
      </w:r>
    </w:p>
    <w:p w14:paraId="3F13EA1B">
      <w:pPr>
        <w:spacing w:after="0" w:line="360" w:lineRule="auto"/>
        <w:ind w:firstLine="420" w:firstLineChars="200"/>
        <w:rPr>
          <w:rFonts w:ascii="宋体" w:hAnsi="宋体" w:eastAsia="宋体"/>
          <w:color w:val="auto"/>
          <w:sz w:val="21"/>
          <w:szCs w:val="21"/>
          <w:highlight w:val="none"/>
        </w:rPr>
      </w:pPr>
    </w:p>
    <w:p w14:paraId="4C63B3AD">
      <w:pPr>
        <w:spacing w:after="0" w:line="360" w:lineRule="auto"/>
        <w:ind w:firstLine="420" w:firstLineChars="2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______年____月____日</w:t>
      </w:r>
    </w:p>
    <w:p w14:paraId="28C4D60B">
      <w:pPr>
        <w:spacing w:after="0" w:line="360" w:lineRule="auto"/>
        <w:ind w:firstLine="420" w:firstLineChars="200"/>
        <w:rPr>
          <w:rFonts w:ascii="宋体" w:hAnsi="宋体" w:eastAsia="宋体"/>
          <w:color w:val="auto"/>
          <w:sz w:val="21"/>
          <w:szCs w:val="21"/>
          <w:highlight w:val="none"/>
        </w:rPr>
      </w:pPr>
    </w:p>
    <w:p w14:paraId="51D2F9A8">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备注：本协议书由授权代表签字的，应附法定代表人签字的授权委托书。</w:t>
      </w:r>
    </w:p>
    <w:p w14:paraId="31F844A9">
      <w:pPr>
        <w:widowControl/>
        <w:spacing w:after="0" w:line="240" w:lineRule="auto"/>
        <w:jc w:val="center"/>
        <w:rPr>
          <w:rFonts w:hint="default" w:ascii="Times New Roman" w:hAnsi="Times New Roman" w:cs="Times New Roman"/>
          <w:b/>
          <w:bCs/>
          <w:color w:val="auto"/>
          <w:sz w:val="28"/>
          <w:szCs w:val="28"/>
          <w:highlight w:val="none"/>
        </w:rPr>
      </w:pPr>
      <w:r>
        <w:rPr>
          <w:rFonts w:hAnsi="宋体" w:cs="宋体"/>
          <w:color w:val="auto"/>
          <w:sz w:val="21"/>
          <w:szCs w:val="21"/>
          <w:highlight w:val="none"/>
        </w:rPr>
        <w:br w:type="page"/>
      </w:r>
      <w:r>
        <w:rPr>
          <w:rFonts w:hint="default" w:ascii="Times New Roman" w:hAnsi="Times New Roman" w:cs="Times New Roman"/>
          <w:b/>
          <w:bCs/>
          <w:color w:val="auto"/>
          <w:sz w:val="28"/>
          <w:szCs w:val="28"/>
          <w:highlight w:val="none"/>
        </w:rPr>
        <w:t>5-</w:t>
      </w:r>
      <w:r>
        <w:rPr>
          <w:rFonts w:hint="eastAsia" w:cs="Times New Roman"/>
          <w:b/>
          <w:bCs/>
          <w:color w:val="auto"/>
          <w:sz w:val="28"/>
          <w:szCs w:val="28"/>
          <w:highlight w:val="none"/>
          <w:lang w:val="en-US" w:eastAsia="zh-CN"/>
        </w:rPr>
        <w:t>9</w:t>
      </w:r>
      <w:r>
        <w:rPr>
          <w:rFonts w:hint="default" w:ascii="Times New Roman" w:hAnsi="Times New Roman" w:cs="Times New Roman"/>
          <w:b/>
          <w:bCs/>
          <w:color w:val="auto"/>
          <w:sz w:val="28"/>
          <w:szCs w:val="28"/>
          <w:highlight w:val="none"/>
        </w:rPr>
        <w:t>其他资格证明文件（若有）</w:t>
      </w:r>
    </w:p>
    <w:p w14:paraId="34BB7EA0">
      <w:pPr>
        <w:rPr>
          <w:color w:val="auto"/>
          <w:highlight w:val="none"/>
        </w:rPr>
      </w:pPr>
    </w:p>
    <w:p w14:paraId="2031E60D">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根据资格条件要求提供相应材料。</w:t>
      </w:r>
    </w:p>
    <w:p w14:paraId="3031B083">
      <w:pPr>
        <w:rPr>
          <w:rFonts w:ascii="宋体" w:hAnsi="宋体" w:cs="宋体"/>
          <w:color w:val="auto"/>
          <w:sz w:val="24"/>
          <w:highlight w:val="none"/>
        </w:rPr>
      </w:pPr>
    </w:p>
    <w:p w14:paraId="40C6EA9C">
      <w:pPr>
        <w:snapToGrid w:val="0"/>
        <w:spacing w:after="0" w:line="360" w:lineRule="auto"/>
        <w:jc w:val="center"/>
        <w:rPr>
          <w:rFonts w:ascii="宋体" w:hAnsi="宋体" w:cs="宋体"/>
          <w:b/>
          <w:bCs/>
          <w:color w:val="auto"/>
          <w:sz w:val="28"/>
          <w:szCs w:val="28"/>
          <w:highlight w:val="none"/>
        </w:rPr>
      </w:pPr>
      <w:r>
        <w:rPr>
          <w:rFonts w:hint="eastAsia" w:ascii="宋体" w:hAnsi="宋体" w:cs="宋体"/>
          <w:b/>
          <w:bCs/>
          <w:color w:val="auto"/>
          <w:sz w:val="36"/>
          <w:szCs w:val="36"/>
          <w:highlight w:val="none"/>
        </w:rPr>
        <w:br w:type="page"/>
      </w:r>
      <w:r>
        <w:rPr>
          <w:rFonts w:hint="eastAsia" w:ascii="宋体" w:hAnsi="宋体" w:cs="宋体"/>
          <w:b/>
          <w:bCs/>
          <w:color w:val="auto"/>
          <w:sz w:val="28"/>
          <w:szCs w:val="28"/>
          <w:highlight w:val="none"/>
        </w:rPr>
        <w:t>格式6  中小企业声明函</w:t>
      </w:r>
    </w:p>
    <w:p w14:paraId="597E60B3">
      <w:pPr>
        <w:widowControl/>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中小企业声明函（服务）</w:t>
      </w:r>
    </w:p>
    <w:p w14:paraId="0512D992">
      <w:pPr>
        <w:widowControl/>
        <w:spacing w:after="0" w:line="360" w:lineRule="auto"/>
        <w:ind w:firstLine="480" w:firstLineChars="200"/>
        <w:jc w:val="left"/>
        <w:rPr>
          <w:rFonts w:ascii="宋体" w:hAnsi="宋体" w:cs="宋体"/>
          <w:color w:val="auto"/>
          <w:kern w:val="0"/>
          <w:sz w:val="24"/>
          <w:highlight w:val="none"/>
        </w:rPr>
      </w:pPr>
    </w:p>
    <w:p w14:paraId="150B876B">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本公司（联合体）郑重声明，根据《政府采购促进中小企业发展管理办法》（财库﹝2020﹞46 号）的规定，本公司（联合体）参加</w:t>
      </w:r>
      <w:r>
        <w:rPr>
          <w:rFonts w:hint="default" w:ascii="Times New Roman" w:hAnsi="Times New Roman" w:cs="Times New Roman"/>
          <w:i/>
          <w:iCs/>
          <w:color w:val="auto"/>
          <w:sz w:val="21"/>
          <w:szCs w:val="21"/>
          <w:highlight w:val="none"/>
          <w:u w:val="single"/>
        </w:rPr>
        <w:t>（单位名称）</w:t>
      </w:r>
      <w:r>
        <w:rPr>
          <w:rFonts w:hint="default" w:ascii="Times New Roman" w:hAnsi="Times New Roman" w:cs="Times New Roman"/>
          <w:color w:val="auto"/>
          <w:sz w:val="21"/>
          <w:szCs w:val="21"/>
          <w:highlight w:val="none"/>
        </w:rPr>
        <w:t>的</w:t>
      </w:r>
      <w:r>
        <w:rPr>
          <w:rFonts w:hint="default" w:ascii="Times New Roman" w:hAnsi="Times New Roman" w:cs="Times New Roman"/>
          <w:i/>
          <w:iCs/>
          <w:color w:val="auto"/>
          <w:sz w:val="21"/>
          <w:szCs w:val="21"/>
          <w:highlight w:val="none"/>
          <w:u w:val="single"/>
        </w:rPr>
        <w:t>（项目名称）</w:t>
      </w:r>
      <w:r>
        <w:rPr>
          <w:rFonts w:hint="default" w:ascii="Times New Roman" w:hAnsi="Times New Roman" w:cs="Times New Roman"/>
          <w:color w:val="auto"/>
          <w:sz w:val="21"/>
          <w:szCs w:val="21"/>
          <w:highlight w:val="none"/>
        </w:rPr>
        <w:t>采购活动，服务全部由符合政策要求的中小企业承接。相关企业（含联合体中的中小企业、签订分包意向协议的中小企业）的具体情况如下：</w:t>
      </w:r>
    </w:p>
    <w:p w14:paraId="5F3A0E79">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r>
        <w:rPr>
          <w:rFonts w:hint="default" w:ascii="Times New Roman" w:hAnsi="Times New Roman" w:cs="Times New Roman"/>
          <w:i/>
          <w:iCs/>
          <w:color w:val="auto"/>
          <w:sz w:val="21"/>
          <w:szCs w:val="21"/>
          <w:highlight w:val="none"/>
          <w:u w:val="single"/>
        </w:rPr>
        <w:t xml:space="preserve"> （标的名称） </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（采购文件中明确的所属行业）</w:t>
      </w:r>
      <w:r>
        <w:rPr>
          <w:rFonts w:hint="default" w:ascii="Times New Roman" w:hAnsi="Times New Roman" w:cs="Times New Roman"/>
          <w:color w:val="auto"/>
          <w:sz w:val="21"/>
          <w:szCs w:val="21"/>
          <w:highlight w:val="none"/>
        </w:rPr>
        <w:t>；承建（承接）企业为</w:t>
      </w:r>
      <w:r>
        <w:rPr>
          <w:rFonts w:hint="default" w:ascii="Times New Roman" w:hAnsi="Times New Roman" w:cs="Times New Roman"/>
          <w:i/>
          <w:iCs/>
          <w:color w:val="auto"/>
          <w:sz w:val="21"/>
          <w:szCs w:val="21"/>
          <w:highlight w:val="none"/>
          <w:u w:val="single"/>
        </w:rPr>
        <w:t>（企业名称）</w:t>
      </w:r>
      <w:r>
        <w:rPr>
          <w:rFonts w:hint="default" w:ascii="Times New Roman" w:hAnsi="Times New Roman" w:cs="Times New Roman"/>
          <w:color w:val="auto"/>
          <w:sz w:val="21"/>
          <w:szCs w:val="21"/>
          <w:highlight w:val="none"/>
        </w:rPr>
        <w:t>，从业人员</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人，营业收入为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万元，资产总额为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w:t>
      </w:r>
      <w:r>
        <w:rPr>
          <w:rFonts w:hint="default" w:ascii="Times New Roman" w:hAnsi="Times New Roman" w:cs="Times New Roman"/>
          <w:color w:val="auto"/>
          <w:sz w:val="21"/>
          <w:szCs w:val="21"/>
          <w:highlight w:val="none"/>
          <w:vertAlign w:val="superscript"/>
        </w:rPr>
        <w:t>1</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（中型企业、小型企业、微型企业）</w:t>
      </w:r>
      <w:r>
        <w:rPr>
          <w:rFonts w:hint="default" w:ascii="Times New Roman" w:hAnsi="Times New Roman" w:cs="Times New Roman"/>
          <w:color w:val="auto"/>
          <w:sz w:val="21"/>
          <w:szCs w:val="21"/>
          <w:highlight w:val="none"/>
        </w:rPr>
        <w:t xml:space="preserve">； </w:t>
      </w:r>
    </w:p>
    <w:p w14:paraId="113CB7F4">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r>
        <w:rPr>
          <w:rFonts w:hint="default" w:ascii="Times New Roman" w:hAnsi="Times New Roman" w:cs="Times New Roman"/>
          <w:i/>
          <w:iCs/>
          <w:color w:val="auto"/>
          <w:sz w:val="21"/>
          <w:szCs w:val="21"/>
          <w:highlight w:val="none"/>
          <w:u w:val="single"/>
        </w:rPr>
        <w:t xml:space="preserve"> （标的名称） </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（采购文件中明确的所属行业）</w:t>
      </w:r>
      <w:r>
        <w:rPr>
          <w:rFonts w:hint="default" w:ascii="Times New Roman" w:hAnsi="Times New Roman" w:cs="Times New Roman"/>
          <w:color w:val="auto"/>
          <w:sz w:val="21"/>
          <w:szCs w:val="21"/>
          <w:highlight w:val="none"/>
        </w:rPr>
        <w:t>；承建（承接）企业为</w:t>
      </w:r>
      <w:r>
        <w:rPr>
          <w:rFonts w:hint="default" w:ascii="Times New Roman" w:hAnsi="Times New Roman" w:cs="Times New Roman"/>
          <w:i/>
          <w:iCs/>
          <w:color w:val="auto"/>
          <w:sz w:val="21"/>
          <w:szCs w:val="21"/>
          <w:highlight w:val="none"/>
          <w:u w:val="single"/>
        </w:rPr>
        <w:t>（企业名称）</w:t>
      </w:r>
      <w:r>
        <w:rPr>
          <w:rFonts w:hint="default" w:ascii="Times New Roman" w:hAnsi="Times New Roman" w:cs="Times New Roman"/>
          <w:color w:val="auto"/>
          <w:sz w:val="21"/>
          <w:szCs w:val="21"/>
          <w:highlight w:val="none"/>
        </w:rPr>
        <w:t>，从业人员</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人，营业收入为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万元，资产总额为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w:t>
      </w:r>
      <w:r>
        <w:rPr>
          <w:rFonts w:hint="default" w:ascii="Times New Roman" w:hAnsi="Times New Roman" w:cs="Times New Roman"/>
          <w:color w:val="auto"/>
          <w:sz w:val="21"/>
          <w:szCs w:val="21"/>
          <w:highlight w:val="none"/>
          <w:vertAlign w:val="superscript"/>
        </w:rPr>
        <w:t>1</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（中型企业、小型企业、微型企业）</w:t>
      </w:r>
      <w:r>
        <w:rPr>
          <w:rFonts w:hint="default" w:ascii="Times New Roman" w:hAnsi="Times New Roman" w:cs="Times New Roman"/>
          <w:color w:val="auto"/>
          <w:sz w:val="21"/>
          <w:szCs w:val="21"/>
          <w:highlight w:val="none"/>
        </w:rPr>
        <w:t xml:space="preserve">； </w:t>
      </w:r>
    </w:p>
    <w:p w14:paraId="30173350">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p w14:paraId="10B27BD3">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以上企业，不属于大企业的分支机构，不存在控股股东为大企业的情形，也不存在与大企业的负责人为同一人的情形。</w:t>
      </w:r>
    </w:p>
    <w:p w14:paraId="6B3FB6B9">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本企业对上述声明内容的真实性负责。如有虚假，将依法承担相应责任。 </w:t>
      </w:r>
    </w:p>
    <w:p w14:paraId="6C6954B8">
      <w:pPr>
        <w:pStyle w:val="10"/>
        <w:snapToGrid w:val="0"/>
        <w:spacing w:line="360" w:lineRule="auto"/>
        <w:ind w:firstLine="420" w:firstLineChars="200"/>
        <w:rPr>
          <w:rFonts w:hint="default" w:ascii="Times New Roman" w:hAnsi="Times New Roman" w:cs="Times New Roman"/>
          <w:color w:val="auto"/>
          <w:sz w:val="21"/>
          <w:szCs w:val="21"/>
          <w:highlight w:val="none"/>
        </w:rPr>
      </w:pPr>
    </w:p>
    <w:p w14:paraId="38EA0A80">
      <w:pPr>
        <w:pStyle w:val="10"/>
        <w:snapToGrid w:val="0"/>
        <w:spacing w:line="360" w:lineRule="auto"/>
        <w:ind w:firstLine="420" w:firstLineChars="200"/>
        <w:rPr>
          <w:rFonts w:hint="default" w:ascii="Times New Roman" w:hAnsi="Times New Roman" w:cs="Times New Roman"/>
          <w:color w:val="auto"/>
          <w:sz w:val="21"/>
          <w:szCs w:val="21"/>
          <w:highlight w:val="none"/>
        </w:rPr>
      </w:pPr>
    </w:p>
    <w:p w14:paraId="6E35B92B">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w:t>
      </w:r>
      <w:r>
        <w:rPr>
          <w:rFonts w:hint="default" w:ascii="Times New Roman" w:hAnsi="Times New Roman" w:cs="Times New Roman"/>
          <w:color w:val="auto"/>
          <w:kern w:val="0"/>
          <w:sz w:val="21"/>
          <w:szCs w:val="21"/>
          <w:highlight w:val="none"/>
        </w:rPr>
        <w:t>（全称并加盖公章</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u w:val="single"/>
        </w:rPr>
        <w:t xml:space="preserve">             </w:t>
      </w:r>
    </w:p>
    <w:p w14:paraId="255AF4FC">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日期：</w:t>
      </w:r>
      <w:r>
        <w:rPr>
          <w:rFonts w:hint="default" w:ascii="Times New Roman" w:hAnsi="Times New Roman" w:cs="Times New Roman"/>
          <w:color w:val="auto"/>
          <w:sz w:val="21"/>
          <w:szCs w:val="21"/>
          <w:highlight w:val="none"/>
          <w:u w:val="single"/>
        </w:rPr>
        <w:t xml:space="preserve">                                 </w:t>
      </w:r>
    </w:p>
    <w:p w14:paraId="2A658EB5">
      <w:pPr>
        <w:pStyle w:val="10"/>
        <w:snapToGrid w:val="0"/>
        <w:spacing w:line="360" w:lineRule="auto"/>
        <w:ind w:firstLine="480" w:firstLineChars="200"/>
        <w:rPr>
          <w:rFonts w:hAnsi="宋体" w:cs="宋体"/>
          <w:color w:val="auto"/>
          <w:sz w:val="24"/>
          <w:szCs w:val="24"/>
          <w:highlight w:val="none"/>
        </w:rPr>
      </w:pPr>
    </w:p>
    <w:p w14:paraId="1C8C4AB4">
      <w:pPr>
        <w:pStyle w:val="10"/>
        <w:snapToGrid w:val="0"/>
        <w:spacing w:line="360" w:lineRule="auto"/>
        <w:ind w:firstLine="480" w:firstLineChars="200"/>
        <w:rPr>
          <w:rFonts w:hAnsi="宋体" w:cs="宋体"/>
          <w:color w:val="auto"/>
          <w:sz w:val="24"/>
          <w:szCs w:val="24"/>
          <w:highlight w:val="none"/>
        </w:rPr>
      </w:pPr>
    </w:p>
    <w:p w14:paraId="2DFD659F">
      <w:pPr>
        <w:widowControl/>
        <w:rPr>
          <w:color w:val="auto"/>
          <w:highlight w:val="none"/>
        </w:rPr>
      </w:pPr>
    </w:p>
    <w:p w14:paraId="1C4DCC91">
      <w:pPr>
        <w:widowControl/>
        <w:jc w:val="left"/>
        <w:rPr>
          <w:color w:val="auto"/>
          <w:highlight w:val="none"/>
        </w:rPr>
      </w:pPr>
      <w:r>
        <w:rPr>
          <w:rFonts w:ascii="宋体" w:hAnsi="宋体" w:cs="宋体"/>
          <w:color w:val="auto"/>
          <w:kern w:val="0"/>
          <w:sz w:val="18"/>
          <w:szCs w:val="18"/>
          <w:highlight w:val="none"/>
        </w:rPr>
        <w:t>1</w:t>
      </w:r>
      <w:r>
        <w:rPr>
          <w:rFonts w:hint="eastAsia" w:ascii="宋体" w:hAnsi="宋体" w:cs="宋体"/>
          <w:color w:val="auto"/>
          <w:kern w:val="0"/>
          <w:sz w:val="18"/>
          <w:szCs w:val="18"/>
          <w:highlight w:val="none"/>
        </w:rPr>
        <w:t>从业人员、营业收入、资产总额填报上一年度数据，无上一年度数据的新成立企业可不填报。</w:t>
      </w:r>
    </w:p>
    <w:p w14:paraId="7898F1F2">
      <w:pPr>
        <w:pStyle w:val="10"/>
        <w:snapToGrid w:val="0"/>
        <w:spacing w:line="360" w:lineRule="auto"/>
        <w:ind w:firstLine="480" w:firstLineChars="200"/>
        <w:rPr>
          <w:rFonts w:hAnsi="宋体" w:cs="宋体"/>
          <w:color w:val="auto"/>
          <w:sz w:val="24"/>
          <w:szCs w:val="24"/>
          <w:highlight w:val="none"/>
        </w:rPr>
      </w:pPr>
    </w:p>
    <w:p w14:paraId="2F57B5E3">
      <w:pPr>
        <w:topLinePunct/>
        <w:autoSpaceDE w:val="0"/>
        <w:autoSpaceDN w:val="0"/>
        <w:spacing w:line="460" w:lineRule="exact"/>
        <w:jc w:val="center"/>
        <w:rPr>
          <w:rFonts w:ascii="宋体" w:hAnsi="宋体" w:cs="宋体"/>
          <w:b/>
          <w:bCs/>
          <w:color w:val="auto"/>
          <w:sz w:val="28"/>
          <w:szCs w:val="28"/>
          <w:highlight w:val="none"/>
        </w:rPr>
      </w:pPr>
      <w:r>
        <w:rPr>
          <w:rFonts w:hint="eastAsia"/>
          <w:color w:val="auto"/>
          <w:sz w:val="24"/>
          <w:highlight w:val="none"/>
        </w:rPr>
        <w:br w:type="page"/>
      </w:r>
      <w:r>
        <w:rPr>
          <w:rFonts w:hint="eastAsia" w:ascii="宋体" w:hAnsi="宋体" w:cs="宋体"/>
          <w:b/>
          <w:bCs/>
          <w:color w:val="auto"/>
          <w:sz w:val="28"/>
          <w:szCs w:val="28"/>
          <w:highlight w:val="none"/>
        </w:rPr>
        <w:t>中小企业声明函（货物）</w:t>
      </w:r>
    </w:p>
    <w:p w14:paraId="609BDAA9">
      <w:pPr>
        <w:rPr>
          <w:color w:val="auto"/>
          <w:highlight w:val="none"/>
        </w:rPr>
      </w:pPr>
    </w:p>
    <w:p w14:paraId="684F087F">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本公司（联合体）郑重声明，根据《政府采购促进中小企业发展管理办法》（财库﹝2020﹞46 号）的规定，本公司（联合体）参加</w:t>
      </w:r>
      <w:r>
        <w:rPr>
          <w:rFonts w:hint="default" w:ascii="Times New Roman" w:hAnsi="Times New Roman" w:cs="Times New Roman"/>
          <w:i/>
          <w:iCs/>
          <w:color w:val="auto"/>
          <w:sz w:val="21"/>
          <w:szCs w:val="21"/>
          <w:highlight w:val="none"/>
          <w:u w:val="single"/>
        </w:rPr>
        <w:t>（单位名称）</w:t>
      </w:r>
      <w:r>
        <w:rPr>
          <w:rFonts w:hint="default" w:ascii="Times New Roman" w:hAnsi="Times New Roman" w:cs="Times New Roman"/>
          <w:color w:val="auto"/>
          <w:sz w:val="21"/>
          <w:szCs w:val="21"/>
          <w:highlight w:val="none"/>
        </w:rPr>
        <w:t>的</w:t>
      </w:r>
      <w:r>
        <w:rPr>
          <w:rFonts w:hint="default" w:ascii="Times New Roman" w:hAnsi="Times New Roman" w:cs="Times New Roman"/>
          <w:i/>
          <w:iCs/>
          <w:color w:val="auto"/>
          <w:sz w:val="21"/>
          <w:szCs w:val="21"/>
          <w:highlight w:val="none"/>
          <w:u w:val="single"/>
        </w:rPr>
        <w:t>（项目名称）</w:t>
      </w:r>
      <w:r>
        <w:rPr>
          <w:rFonts w:hint="default" w:ascii="Times New Roman" w:hAnsi="Times New Roman" w:cs="Times New Roman"/>
          <w:color w:val="auto"/>
          <w:sz w:val="21"/>
          <w:szCs w:val="21"/>
          <w:highlight w:val="none"/>
        </w:rPr>
        <w:t>采购活动，提供的货物全部由符合政策要求的中小企业制造。相关企业（含联合体中的中小企业、签订分包意向协议的中小企业）的具体情况如下：</w:t>
      </w:r>
    </w:p>
    <w:p w14:paraId="45DBB6E6">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1. </w:t>
      </w:r>
      <w:r>
        <w:rPr>
          <w:rFonts w:hint="default" w:ascii="Times New Roman" w:hAnsi="Times New Roman" w:cs="Times New Roman"/>
          <w:i/>
          <w:iCs/>
          <w:color w:val="auto"/>
          <w:sz w:val="21"/>
          <w:szCs w:val="21"/>
          <w:highlight w:val="none"/>
          <w:u w:val="single"/>
        </w:rPr>
        <w:t xml:space="preserve">（标的名称） </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（采购文件中明确的所属行业）</w:t>
      </w:r>
      <w:r>
        <w:rPr>
          <w:rFonts w:hint="default" w:ascii="Times New Roman" w:hAnsi="Times New Roman" w:cs="Times New Roman"/>
          <w:color w:val="auto"/>
          <w:sz w:val="21"/>
          <w:szCs w:val="21"/>
          <w:highlight w:val="none"/>
        </w:rPr>
        <w:t>行业；制造商为</w:t>
      </w:r>
      <w:r>
        <w:rPr>
          <w:rFonts w:hint="default" w:ascii="Times New Roman" w:hAnsi="Times New Roman" w:cs="Times New Roman"/>
          <w:i/>
          <w:iCs/>
          <w:color w:val="auto"/>
          <w:sz w:val="21"/>
          <w:szCs w:val="21"/>
          <w:highlight w:val="none"/>
          <w:u w:val="single"/>
        </w:rPr>
        <w:t>（企业名称）</w:t>
      </w:r>
      <w:r>
        <w:rPr>
          <w:rFonts w:hint="default" w:ascii="Times New Roman" w:hAnsi="Times New Roman" w:cs="Times New Roman"/>
          <w:color w:val="auto"/>
          <w:sz w:val="21"/>
          <w:szCs w:val="21"/>
          <w:highlight w:val="none"/>
        </w:rPr>
        <w:t>，从业人员</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人，营业收入为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万元，资产总额为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w:t>
      </w:r>
      <w:r>
        <w:rPr>
          <w:rFonts w:hint="default" w:ascii="Times New Roman" w:hAnsi="Times New Roman" w:cs="Times New Roman"/>
          <w:color w:val="auto"/>
          <w:sz w:val="21"/>
          <w:szCs w:val="21"/>
          <w:highlight w:val="none"/>
          <w:vertAlign w:val="superscript"/>
        </w:rPr>
        <w:t>1</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（中型企业、小型企业、微型企业）</w:t>
      </w:r>
      <w:r>
        <w:rPr>
          <w:rFonts w:hint="default" w:ascii="Times New Roman" w:hAnsi="Times New Roman" w:cs="Times New Roman"/>
          <w:color w:val="auto"/>
          <w:sz w:val="21"/>
          <w:szCs w:val="21"/>
          <w:highlight w:val="none"/>
        </w:rPr>
        <w:t xml:space="preserve">； </w:t>
      </w:r>
    </w:p>
    <w:p w14:paraId="3CD3E273">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2. </w:t>
      </w:r>
      <w:r>
        <w:rPr>
          <w:rFonts w:hint="default" w:ascii="Times New Roman" w:hAnsi="Times New Roman" w:cs="Times New Roman"/>
          <w:i/>
          <w:iCs/>
          <w:color w:val="auto"/>
          <w:sz w:val="21"/>
          <w:szCs w:val="21"/>
          <w:highlight w:val="none"/>
          <w:u w:val="single"/>
        </w:rPr>
        <w:t>（标的名称）</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（采购文件中明确的所属行业）</w:t>
      </w:r>
      <w:r>
        <w:rPr>
          <w:rFonts w:hint="default" w:ascii="Times New Roman" w:hAnsi="Times New Roman" w:cs="Times New Roman"/>
          <w:color w:val="auto"/>
          <w:sz w:val="21"/>
          <w:szCs w:val="21"/>
          <w:highlight w:val="none"/>
        </w:rPr>
        <w:t>行业；制造商为</w:t>
      </w:r>
      <w:r>
        <w:rPr>
          <w:rFonts w:hint="default" w:ascii="Times New Roman" w:hAnsi="Times New Roman" w:cs="Times New Roman"/>
          <w:i/>
          <w:iCs/>
          <w:color w:val="auto"/>
          <w:sz w:val="21"/>
          <w:szCs w:val="21"/>
          <w:highlight w:val="none"/>
          <w:u w:val="single"/>
        </w:rPr>
        <w:t>（企业名称）</w:t>
      </w:r>
      <w:r>
        <w:rPr>
          <w:rFonts w:hint="default" w:ascii="Times New Roman" w:hAnsi="Times New Roman" w:cs="Times New Roman"/>
          <w:color w:val="auto"/>
          <w:sz w:val="21"/>
          <w:szCs w:val="21"/>
          <w:highlight w:val="none"/>
        </w:rPr>
        <w:t>，从业人员</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人，营业收入为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万元，资产总额为</w:t>
      </w:r>
      <w:r>
        <w:rPr>
          <w:rFonts w:hint="default" w:ascii="Times New Roman" w:hAnsi="Times New Roman" w:cs="Times New Roman"/>
          <w:color w:val="auto"/>
          <w:sz w:val="21"/>
          <w:szCs w:val="21"/>
          <w:highlight w:val="none"/>
          <w:u w:val="single"/>
        </w:rPr>
        <w:tab/>
      </w:r>
      <w:r>
        <w:rPr>
          <w:rFonts w:hint="default" w:ascii="Times New Roman" w:hAnsi="Times New Roman" w:cs="Times New Roman"/>
          <w:color w:val="auto"/>
          <w:sz w:val="21"/>
          <w:szCs w:val="21"/>
          <w:highlight w:val="none"/>
          <w:u w:val="single"/>
        </w:rPr>
        <w:t xml:space="preserve">   </w:t>
      </w:r>
      <w:r>
        <w:rPr>
          <w:rFonts w:hint="default" w:ascii="Times New Roman" w:hAnsi="Times New Roman" w:cs="Times New Roman"/>
          <w:color w:val="auto"/>
          <w:sz w:val="21"/>
          <w:szCs w:val="21"/>
          <w:highlight w:val="none"/>
        </w:rPr>
        <w:t>万元</w:t>
      </w:r>
      <w:r>
        <w:rPr>
          <w:rFonts w:hint="default" w:ascii="Times New Roman" w:hAnsi="Times New Roman" w:cs="Times New Roman"/>
          <w:color w:val="auto"/>
          <w:sz w:val="21"/>
          <w:szCs w:val="21"/>
          <w:highlight w:val="none"/>
          <w:vertAlign w:val="superscript"/>
        </w:rPr>
        <w:t>1</w:t>
      </w:r>
      <w:r>
        <w:rPr>
          <w:rFonts w:hint="default" w:ascii="Times New Roman" w:hAnsi="Times New Roman" w:cs="Times New Roman"/>
          <w:color w:val="auto"/>
          <w:sz w:val="21"/>
          <w:szCs w:val="21"/>
          <w:highlight w:val="none"/>
        </w:rPr>
        <w:t>，属于</w:t>
      </w:r>
      <w:r>
        <w:rPr>
          <w:rFonts w:hint="default" w:ascii="Times New Roman" w:hAnsi="Times New Roman" w:cs="Times New Roman"/>
          <w:i/>
          <w:iCs/>
          <w:color w:val="auto"/>
          <w:sz w:val="21"/>
          <w:szCs w:val="21"/>
          <w:highlight w:val="none"/>
          <w:u w:val="single"/>
        </w:rPr>
        <w:t>（中型企业、小型企业、微型企业）</w:t>
      </w:r>
      <w:r>
        <w:rPr>
          <w:rFonts w:hint="default" w:ascii="Times New Roman" w:hAnsi="Times New Roman" w:cs="Times New Roman"/>
          <w:color w:val="auto"/>
          <w:sz w:val="21"/>
          <w:szCs w:val="21"/>
          <w:highlight w:val="none"/>
        </w:rPr>
        <w:t xml:space="preserve">； </w:t>
      </w:r>
    </w:p>
    <w:p w14:paraId="701F7C7E">
      <w:pPr>
        <w:pStyle w:val="10"/>
        <w:snapToGrid w:val="0"/>
        <w:spacing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p w14:paraId="313BE4A5">
      <w:pPr>
        <w:widowControl/>
        <w:spacing w:after="0" w:line="360"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以上企业，不属于大企业的分支机构，不存在控股股东为大企业的情形，也不存在与大企业的负责人为同一人的情形。</w:t>
      </w:r>
    </w:p>
    <w:p w14:paraId="153FED79">
      <w:pPr>
        <w:widowControl/>
        <w:spacing w:after="0" w:line="360" w:lineRule="auto"/>
        <w:ind w:firstLine="420" w:firstLineChars="20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 xml:space="preserve">本企业对上述声明内容的真实性负责。如有虚假，将依法承担相应责任。 </w:t>
      </w:r>
    </w:p>
    <w:p w14:paraId="404F7BAD">
      <w:pPr>
        <w:widowControl/>
        <w:spacing w:after="0" w:line="360" w:lineRule="auto"/>
        <w:ind w:firstLine="1680" w:firstLineChars="800"/>
        <w:jc w:val="left"/>
        <w:rPr>
          <w:rFonts w:hint="default" w:ascii="Times New Roman" w:hAnsi="Times New Roman" w:cs="Times New Roman"/>
          <w:color w:val="auto"/>
          <w:kern w:val="0"/>
          <w:sz w:val="21"/>
          <w:szCs w:val="21"/>
          <w:highlight w:val="none"/>
        </w:rPr>
      </w:pPr>
    </w:p>
    <w:p w14:paraId="09EE1594">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w:t>
      </w:r>
      <w:r>
        <w:rPr>
          <w:rFonts w:hint="default" w:ascii="Times New Roman" w:hAnsi="Times New Roman" w:cs="Times New Roman"/>
          <w:color w:val="auto"/>
          <w:kern w:val="0"/>
          <w:sz w:val="21"/>
          <w:szCs w:val="21"/>
          <w:highlight w:val="none"/>
        </w:rPr>
        <w:t>（全称并加盖公章</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u w:val="single"/>
        </w:rPr>
        <w:t xml:space="preserve">             </w:t>
      </w:r>
    </w:p>
    <w:p w14:paraId="31561573">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日期：</w:t>
      </w:r>
      <w:r>
        <w:rPr>
          <w:rFonts w:hint="default" w:ascii="Times New Roman" w:hAnsi="Times New Roman" w:cs="Times New Roman"/>
          <w:color w:val="auto"/>
          <w:sz w:val="21"/>
          <w:szCs w:val="21"/>
          <w:highlight w:val="none"/>
          <w:u w:val="single"/>
        </w:rPr>
        <w:t xml:space="preserve">                                 </w:t>
      </w:r>
    </w:p>
    <w:p w14:paraId="6B6A7771">
      <w:pPr>
        <w:widowControl/>
        <w:ind w:firstLine="3120" w:firstLineChars="1300"/>
        <w:rPr>
          <w:rFonts w:ascii="宋体" w:hAnsi="宋体" w:cs="宋体"/>
          <w:color w:val="auto"/>
          <w:sz w:val="24"/>
          <w:highlight w:val="none"/>
        </w:rPr>
      </w:pPr>
    </w:p>
    <w:p w14:paraId="60340FCC">
      <w:pPr>
        <w:widowControl/>
        <w:rPr>
          <w:color w:val="auto"/>
          <w:highlight w:val="none"/>
        </w:rPr>
      </w:pPr>
    </w:p>
    <w:p w14:paraId="60A1C232">
      <w:pPr>
        <w:widowControl/>
        <w:jc w:val="left"/>
        <w:rPr>
          <w:color w:val="auto"/>
          <w:highlight w:val="none"/>
        </w:rPr>
      </w:pPr>
      <w:r>
        <w:rPr>
          <w:rFonts w:ascii="宋体" w:hAnsi="宋体" w:cs="宋体"/>
          <w:color w:val="auto"/>
          <w:kern w:val="0"/>
          <w:sz w:val="18"/>
          <w:szCs w:val="18"/>
          <w:highlight w:val="none"/>
        </w:rPr>
        <w:t xml:space="preserve">1 </w:t>
      </w:r>
      <w:r>
        <w:rPr>
          <w:rFonts w:hint="eastAsia" w:ascii="宋体" w:hAnsi="宋体" w:cs="宋体"/>
          <w:color w:val="auto"/>
          <w:kern w:val="0"/>
          <w:sz w:val="18"/>
          <w:szCs w:val="18"/>
          <w:highlight w:val="none"/>
        </w:rPr>
        <w:t>从业人员、营业收入、资产总额填报上一年度数据，无上一年度数据的新成立企业可不填报。</w:t>
      </w:r>
    </w:p>
    <w:p w14:paraId="605A4113">
      <w:pPr>
        <w:widowControl/>
        <w:ind w:firstLine="540" w:firstLineChars="300"/>
        <w:jc w:val="left"/>
        <w:rPr>
          <w:rFonts w:ascii="宋体" w:hAnsi="宋体" w:cs="宋体"/>
          <w:color w:val="auto"/>
          <w:kern w:val="0"/>
          <w:sz w:val="18"/>
          <w:szCs w:val="18"/>
          <w:highlight w:val="none"/>
        </w:rPr>
      </w:pPr>
    </w:p>
    <w:p w14:paraId="38554F23">
      <w:pPr>
        <w:pStyle w:val="10"/>
        <w:topLinePunct/>
        <w:autoSpaceDE w:val="0"/>
        <w:autoSpaceDN w:val="0"/>
        <w:spacing w:line="460" w:lineRule="exact"/>
        <w:jc w:val="center"/>
        <w:rPr>
          <w:rFonts w:hint="default" w:ascii="Times New Roman" w:hAnsi="Times New Roman" w:cs="Times New Roman"/>
          <w:b/>
          <w:bCs/>
          <w:color w:val="auto"/>
          <w:sz w:val="28"/>
          <w:szCs w:val="28"/>
          <w:highlight w:val="none"/>
        </w:rPr>
      </w:pPr>
      <w:r>
        <w:rPr>
          <w:rFonts w:hint="eastAsia"/>
          <w:color w:val="auto"/>
          <w:sz w:val="24"/>
          <w:highlight w:val="none"/>
        </w:rPr>
        <w:br w:type="page"/>
      </w:r>
      <w:r>
        <w:rPr>
          <w:rFonts w:hint="default" w:ascii="Times New Roman" w:hAnsi="Times New Roman" w:cs="Times New Roman"/>
          <w:b/>
          <w:bCs/>
          <w:color w:val="auto"/>
          <w:sz w:val="28"/>
          <w:szCs w:val="28"/>
          <w:highlight w:val="none"/>
        </w:rPr>
        <w:t>格式7  残疾人福利性单位声明函</w:t>
      </w:r>
    </w:p>
    <w:p w14:paraId="247E1838">
      <w:pPr>
        <w:spacing w:line="588" w:lineRule="exact"/>
        <w:ind w:firstLine="444" w:firstLineChars="200"/>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CCC413">
      <w:pPr>
        <w:spacing w:line="588" w:lineRule="exact"/>
        <w:ind w:firstLine="444" w:firstLineChars="200"/>
        <w:rPr>
          <w:rFonts w:hint="default" w:ascii="Times New Roman" w:hAnsi="Times New Roman" w:cs="Times New Roman"/>
          <w:color w:val="auto"/>
          <w:spacing w:val="6"/>
          <w:sz w:val="21"/>
          <w:szCs w:val="21"/>
          <w:highlight w:val="none"/>
        </w:rPr>
      </w:pPr>
      <w:r>
        <w:rPr>
          <w:rFonts w:hint="default" w:ascii="Times New Roman" w:hAnsi="Times New Roman" w:cs="Times New Roman"/>
          <w:color w:val="auto"/>
          <w:spacing w:val="6"/>
          <w:sz w:val="21"/>
          <w:szCs w:val="21"/>
          <w:highlight w:val="none"/>
        </w:rPr>
        <w:t>本单位对上述声明的真实性负责。如有虚假，将依法承担相应责任。</w:t>
      </w:r>
    </w:p>
    <w:p w14:paraId="2CA60947">
      <w:pPr>
        <w:spacing w:line="588" w:lineRule="exact"/>
        <w:ind w:firstLine="444" w:firstLineChars="200"/>
        <w:rPr>
          <w:rFonts w:hint="default" w:ascii="Times New Roman" w:hAnsi="Times New Roman" w:cs="Times New Roman"/>
          <w:color w:val="auto"/>
          <w:spacing w:val="6"/>
          <w:sz w:val="21"/>
          <w:szCs w:val="21"/>
          <w:highlight w:val="none"/>
        </w:rPr>
      </w:pPr>
    </w:p>
    <w:p w14:paraId="6F533915">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投标人</w:t>
      </w:r>
      <w:r>
        <w:rPr>
          <w:rFonts w:hint="default" w:ascii="Times New Roman" w:hAnsi="Times New Roman" w:cs="Times New Roman"/>
          <w:color w:val="auto"/>
          <w:kern w:val="0"/>
          <w:sz w:val="21"/>
          <w:szCs w:val="21"/>
          <w:highlight w:val="none"/>
        </w:rPr>
        <w:t>（全称并加盖公章</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sz w:val="21"/>
          <w:szCs w:val="21"/>
          <w:highlight w:val="none"/>
          <w:u w:val="single"/>
        </w:rPr>
        <w:t xml:space="preserve">             </w:t>
      </w:r>
    </w:p>
    <w:p w14:paraId="4C36C525">
      <w:pPr>
        <w:tabs>
          <w:tab w:val="left" w:pos="1230"/>
        </w:tabs>
        <w:topLinePunct/>
        <w:autoSpaceDE w:val="0"/>
        <w:autoSpaceDN w:val="0"/>
        <w:adjustRightInd w:val="0"/>
        <w:snapToGrid w:val="0"/>
        <w:spacing w:after="0" w:line="360" w:lineRule="auto"/>
        <w:ind w:firstLine="420" w:firstLineChars="20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日期：</w:t>
      </w:r>
      <w:r>
        <w:rPr>
          <w:rFonts w:hint="default" w:ascii="Times New Roman" w:hAnsi="Times New Roman" w:cs="Times New Roman"/>
          <w:color w:val="auto"/>
          <w:sz w:val="21"/>
          <w:szCs w:val="21"/>
          <w:highlight w:val="none"/>
          <w:u w:val="single"/>
        </w:rPr>
        <w:t xml:space="preserve">                                 </w:t>
      </w:r>
    </w:p>
    <w:p w14:paraId="5DB1F6D6">
      <w:pPr>
        <w:topLinePunct/>
        <w:autoSpaceDE w:val="0"/>
        <w:autoSpaceDN w:val="0"/>
        <w:spacing w:line="460" w:lineRule="exact"/>
        <w:jc w:val="center"/>
        <w:rPr>
          <w:rFonts w:hint="default" w:ascii="Times New Roman" w:hAnsi="Times New Roman" w:cs="Times New Roman"/>
          <w:color w:val="auto"/>
          <w:spacing w:val="6"/>
          <w:sz w:val="21"/>
          <w:szCs w:val="21"/>
          <w:highlight w:val="none"/>
        </w:rPr>
      </w:pPr>
    </w:p>
    <w:p w14:paraId="6D2057EC">
      <w:pPr>
        <w:rPr>
          <w:rFonts w:hAnsi="宋体" w:cs="宋体"/>
          <w:b/>
          <w:bCs/>
          <w:color w:val="auto"/>
          <w:sz w:val="28"/>
          <w:szCs w:val="28"/>
          <w:highlight w:val="none"/>
        </w:rPr>
      </w:pPr>
    </w:p>
    <w:p w14:paraId="58B84DC8">
      <w:pPr>
        <w:pStyle w:val="21"/>
        <w:numPr>
          <w:ilvl w:val="0"/>
          <w:numId w:val="0"/>
        </w:numPr>
        <w:tabs>
          <w:tab w:val="left" w:pos="420"/>
        </w:tabs>
        <w:snapToGrid w:val="0"/>
        <w:spacing w:line="460" w:lineRule="atLeast"/>
        <w:jc w:val="center"/>
        <w:rPr>
          <w:rFonts w:hint="default" w:ascii="Times New Roman" w:hAnsi="Times New Roman" w:cs="Times New Roman"/>
          <w:b/>
          <w:bCs/>
          <w:color w:val="auto"/>
          <w:sz w:val="28"/>
          <w:szCs w:val="28"/>
          <w:highlight w:val="none"/>
        </w:rPr>
      </w:pPr>
      <w:bookmarkStart w:id="37" w:name="_Toc1652355655"/>
      <w:bookmarkStart w:id="38" w:name="_Toc1403531177"/>
      <w:bookmarkStart w:id="39" w:name="_Toc113393336"/>
      <w:bookmarkStart w:id="40" w:name="_Toc38030071"/>
      <w:bookmarkStart w:id="41" w:name="_Toc386861148"/>
      <w:bookmarkStart w:id="42" w:name="_Toc38030154"/>
      <w:r>
        <w:rPr>
          <w:rFonts w:hint="eastAsia" w:cs="宋体"/>
          <w:color w:val="auto"/>
          <w:kern w:val="2"/>
          <w:sz w:val="28"/>
          <w:szCs w:val="28"/>
          <w:highlight w:val="none"/>
        </w:rPr>
        <w:br w:type="page"/>
      </w:r>
      <w:bookmarkStart w:id="43" w:name="_Toc1381122819"/>
      <w:bookmarkStart w:id="44" w:name="_Toc220361175"/>
      <w:bookmarkStart w:id="45" w:name="_Toc78504842"/>
      <w:bookmarkStart w:id="46" w:name="_Toc598152851"/>
      <w:bookmarkStart w:id="47" w:name="_Toc1749127877"/>
      <w:bookmarkStart w:id="48" w:name="_Toc1097421187"/>
      <w:bookmarkStart w:id="49" w:name="_Toc680706022"/>
      <w:bookmarkStart w:id="50" w:name="_Toc1615545750"/>
      <w:bookmarkStart w:id="51" w:name="_Toc681730266"/>
      <w:r>
        <w:rPr>
          <w:rFonts w:hint="default" w:ascii="Times New Roman" w:hAnsi="Times New Roman" w:cs="Times New Roman"/>
          <w:b/>
          <w:bCs/>
          <w:color w:val="auto"/>
          <w:sz w:val="28"/>
          <w:szCs w:val="28"/>
          <w:highlight w:val="none"/>
        </w:rPr>
        <w:t>格式8 成功案例一览表</w:t>
      </w:r>
      <w:bookmarkEnd w:id="43"/>
      <w:bookmarkEnd w:id="44"/>
      <w:bookmarkEnd w:id="45"/>
      <w:bookmarkEnd w:id="46"/>
      <w:bookmarkEnd w:id="47"/>
      <w:bookmarkEnd w:id="48"/>
      <w:bookmarkEnd w:id="49"/>
      <w:bookmarkEnd w:id="50"/>
      <w:bookmarkEnd w:id="51"/>
    </w:p>
    <w:p w14:paraId="2AFED475">
      <w:pPr>
        <w:bidi w:val="0"/>
        <w:jc w:val="center"/>
        <w:rPr>
          <w:color w:val="auto"/>
          <w:highlight w:val="none"/>
        </w:rPr>
      </w:pPr>
      <w:r>
        <w:rPr>
          <w:rFonts w:hint="eastAsia"/>
          <w:color w:val="auto"/>
          <w:highlight w:val="none"/>
        </w:rPr>
        <w:t>（根据招标文件要求调整）</w:t>
      </w:r>
    </w:p>
    <w:tbl>
      <w:tblPr>
        <w:tblStyle w:val="1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14:paraId="0A07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F147B5A">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14:paraId="51DA7F61">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合同</w:t>
            </w:r>
          </w:p>
          <w:p w14:paraId="1A318548">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14:paraId="1B5FB085">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合同</w:t>
            </w:r>
          </w:p>
          <w:p w14:paraId="557B1704">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14:paraId="52A571EF">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14:paraId="2A114CCA">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合同</w:t>
            </w:r>
          </w:p>
          <w:p w14:paraId="0F429D16">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14:paraId="4B569F85">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合同主要</w:t>
            </w:r>
          </w:p>
          <w:p w14:paraId="5A1E3FA1">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14:paraId="242939D5">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用  户</w:t>
            </w:r>
          </w:p>
          <w:p w14:paraId="1E5EF256">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14:paraId="774D2F31">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用户联</w:t>
            </w:r>
          </w:p>
          <w:p w14:paraId="020F69C0">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14:paraId="7911ADF3">
            <w:pPr>
              <w:topLinePunct/>
              <w:autoSpaceDE w:val="0"/>
              <w:autoSpaceDN w:val="0"/>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14:paraId="1CBC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C13D6AC">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819" w:type="dxa"/>
            <w:tcBorders>
              <w:top w:val="single" w:color="auto" w:sz="4" w:space="0"/>
              <w:left w:val="single" w:color="auto" w:sz="4" w:space="0"/>
              <w:bottom w:val="single" w:color="auto" w:sz="4" w:space="0"/>
              <w:right w:val="single" w:color="auto" w:sz="4" w:space="0"/>
            </w:tcBorders>
            <w:noWrap/>
            <w:vAlign w:val="center"/>
          </w:tcPr>
          <w:p w14:paraId="22EB3662">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4870DD52">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712D6935">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23E2F45D">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0E4FB433">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1D9B0B3">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048DE6F7">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399D3285">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r>
      <w:tr w14:paraId="7C659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6E26AB2A">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819" w:type="dxa"/>
            <w:tcBorders>
              <w:top w:val="single" w:color="auto" w:sz="4" w:space="0"/>
              <w:left w:val="single" w:color="auto" w:sz="4" w:space="0"/>
              <w:bottom w:val="single" w:color="auto" w:sz="4" w:space="0"/>
              <w:right w:val="single" w:color="auto" w:sz="4" w:space="0"/>
            </w:tcBorders>
            <w:noWrap/>
            <w:vAlign w:val="center"/>
          </w:tcPr>
          <w:p w14:paraId="554FA382">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41413DC3">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6842CA85">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06560CF4">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2BF4A46C">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03BF78D7">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0BF737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6B1DB7D6">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r>
      <w:tr w14:paraId="7EB1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9BD81B6">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819" w:type="dxa"/>
            <w:tcBorders>
              <w:top w:val="single" w:color="auto" w:sz="4" w:space="0"/>
              <w:left w:val="single" w:color="auto" w:sz="4" w:space="0"/>
              <w:bottom w:val="single" w:color="auto" w:sz="4" w:space="0"/>
              <w:right w:val="single" w:color="auto" w:sz="4" w:space="0"/>
            </w:tcBorders>
            <w:noWrap/>
            <w:vAlign w:val="center"/>
          </w:tcPr>
          <w:p w14:paraId="22C14452">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59E362D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420274F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6ED9F133">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6FF2F63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E2644A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38A7243F">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7CD9807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r>
      <w:tr w14:paraId="6304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8870E71">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819" w:type="dxa"/>
            <w:tcBorders>
              <w:top w:val="single" w:color="auto" w:sz="4" w:space="0"/>
              <w:left w:val="single" w:color="auto" w:sz="4" w:space="0"/>
              <w:bottom w:val="single" w:color="auto" w:sz="4" w:space="0"/>
              <w:right w:val="single" w:color="auto" w:sz="4" w:space="0"/>
            </w:tcBorders>
            <w:noWrap/>
            <w:vAlign w:val="center"/>
          </w:tcPr>
          <w:p w14:paraId="049FEA45">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4E055746">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7899910D">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12BCAA62">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155E118B">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4C2E354">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607FCA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EBDB155">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r>
      <w:tr w14:paraId="63F5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536BDF16">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819" w:type="dxa"/>
            <w:tcBorders>
              <w:top w:val="single" w:color="auto" w:sz="4" w:space="0"/>
              <w:left w:val="single" w:color="auto" w:sz="4" w:space="0"/>
              <w:bottom w:val="single" w:color="auto" w:sz="4" w:space="0"/>
              <w:right w:val="single" w:color="auto" w:sz="4" w:space="0"/>
            </w:tcBorders>
            <w:noWrap/>
            <w:vAlign w:val="center"/>
          </w:tcPr>
          <w:p w14:paraId="7916075D">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631D195B">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71BB29A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345C006C">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46E44D4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29C91037">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D30D208">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A75A873">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r>
      <w:tr w14:paraId="79C6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4ACF973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819" w:type="dxa"/>
            <w:tcBorders>
              <w:top w:val="single" w:color="auto" w:sz="4" w:space="0"/>
              <w:left w:val="single" w:color="auto" w:sz="4" w:space="0"/>
              <w:bottom w:val="single" w:color="auto" w:sz="4" w:space="0"/>
              <w:right w:val="single" w:color="auto" w:sz="4" w:space="0"/>
            </w:tcBorders>
            <w:noWrap/>
            <w:vAlign w:val="center"/>
          </w:tcPr>
          <w:p w14:paraId="207CA34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01C16F87">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31B4D5CD">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7AC38BE0">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048311E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7A73B345">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13B4221E">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E48016C">
            <w:pPr>
              <w:topLinePunct/>
              <w:autoSpaceDE w:val="0"/>
              <w:autoSpaceDN w:val="0"/>
              <w:adjustRightInd w:val="0"/>
              <w:snapToGrid w:val="0"/>
              <w:spacing w:after="0" w:line="240" w:lineRule="auto"/>
              <w:jc w:val="center"/>
              <w:rPr>
                <w:rFonts w:hint="default" w:ascii="Times New Roman" w:hAnsi="Times New Roman" w:cs="Times New Roman"/>
                <w:color w:val="auto"/>
                <w:sz w:val="21"/>
                <w:szCs w:val="21"/>
                <w:highlight w:val="none"/>
              </w:rPr>
            </w:pPr>
          </w:p>
        </w:tc>
      </w:tr>
    </w:tbl>
    <w:p w14:paraId="5B4ABE82">
      <w:pPr>
        <w:topLinePunct/>
        <w:autoSpaceDE w:val="0"/>
        <w:autoSpaceDN w:val="0"/>
        <w:spacing w:after="0"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特别说明：</w:t>
      </w:r>
    </w:p>
    <w:p w14:paraId="58BA2B4F">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1.提供20XX年1月1日以来（以合同签订日期为准），投标人独立承担的XXXX的项目案例。</w:t>
      </w:r>
    </w:p>
    <w:bookmarkEnd w:id="37"/>
    <w:bookmarkEnd w:id="38"/>
    <w:bookmarkEnd w:id="39"/>
    <w:bookmarkEnd w:id="40"/>
    <w:bookmarkEnd w:id="41"/>
    <w:bookmarkEnd w:id="42"/>
    <w:p w14:paraId="536C7E5D">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2.应提供合同复印件（线上采购项目提供扫描件，下同）。合同复印件应能清晰体现合同甲乙双方、合同时间、合同金额、合同主要内容等，并提供对方联系人及联系方式，否则不能获得相应分值。</w:t>
      </w:r>
    </w:p>
    <w:p w14:paraId="24C656F4">
      <w:pPr>
        <w:pStyle w:val="10"/>
        <w:topLinePunct/>
        <w:autoSpaceDE w:val="0"/>
        <w:autoSpaceDN w:val="0"/>
        <w:spacing w:line="460" w:lineRule="exact"/>
        <w:jc w:val="center"/>
        <w:rPr>
          <w:rFonts w:hAnsi="宋体" w:cs="宋体"/>
          <w:b/>
          <w:bCs/>
          <w:color w:val="auto"/>
          <w:sz w:val="36"/>
          <w:szCs w:val="36"/>
          <w:highlight w:val="none"/>
        </w:rPr>
      </w:pPr>
    </w:p>
    <w:p w14:paraId="001D899D">
      <w:pPr>
        <w:rPr>
          <w:rFonts w:hAnsi="宋体" w:cs="宋体"/>
          <w:b/>
          <w:bCs/>
          <w:color w:val="auto"/>
          <w:sz w:val="36"/>
          <w:szCs w:val="36"/>
          <w:highlight w:val="none"/>
        </w:rPr>
      </w:pPr>
      <w:r>
        <w:rPr>
          <w:rFonts w:hint="eastAsia" w:hAnsi="宋体" w:cs="宋体"/>
          <w:b/>
          <w:bCs/>
          <w:color w:val="auto"/>
          <w:sz w:val="36"/>
          <w:szCs w:val="36"/>
          <w:highlight w:val="none"/>
        </w:rPr>
        <w:br w:type="page"/>
      </w:r>
    </w:p>
    <w:p w14:paraId="7F2ED8D2">
      <w:pPr>
        <w:spacing w:line="600" w:lineRule="auto"/>
        <w:jc w:val="center"/>
        <w:rPr>
          <w:rFonts w:ascii="宋体" w:hAnsi="宋体"/>
          <w:b/>
          <w:color w:val="auto"/>
          <w:kern w:val="0"/>
          <w:sz w:val="44"/>
          <w:szCs w:val="44"/>
          <w:highlight w:val="none"/>
        </w:rPr>
      </w:pPr>
    </w:p>
    <w:p w14:paraId="3AD0698D">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华文中宋" w:hAnsi="华文中宋" w:eastAsia="华文中宋" w:cs="华文中宋"/>
          <w:b w:val="0"/>
          <w:bCs/>
          <w:color w:val="auto"/>
          <w:kern w:val="0"/>
          <w:sz w:val="32"/>
          <w:szCs w:val="32"/>
          <w:highlight w:val="none"/>
        </w:rPr>
      </w:pPr>
      <w:r>
        <w:rPr>
          <w:rFonts w:hint="eastAsia" w:ascii="华文中宋" w:hAnsi="华文中宋" w:eastAsia="华文中宋" w:cs="华文中宋"/>
          <w:b w:val="0"/>
          <w:bCs/>
          <w:color w:val="auto"/>
          <w:kern w:val="0"/>
          <w:sz w:val="32"/>
          <w:szCs w:val="32"/>
          <w:highlight w:val="none"/>
        </w:rPr>
        <w:t>投  标  文  件</w:t>
      </w:r>
    </w:p>
    <w:p w14:paraId="2CE2CD83">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华文中宋" w:hAnsi="华文中宋" w:eastAsia="华文中宋" w:cs="华文中宋"/>
          <w:b w:val="0"/>
          <w:bCs/>
          <w:color w:val="auto"/>
          <w:kern w:val="0"/>
          <w:sz w:val="32"/>
          <w:szCs w:val="32"/>
          <w:highlight w:val="none"/>
        </w:rPr>
      </w:pPr>
      <w:r>
        <w:rPr>
          <w:rFonts w:hint="eastAsia" w:ascii="华文中宋" w:hAnsi="华文中宋" w:eastAsia="华文中宋" w:cs="华文中宋"/>
          <w:b w:val="0"/>
          <w:bCs/>
          <w:color w:val="auto"/>
          <w:kern w:val="0"/>
          <w:sz w:val="32"/>
          <w:szCs w:val="32"/>
          <w:highlight w:val="none"/>
        </w:rPr>
        <w:t>技术部分</w:t>
      </w:r>
    </w:p>
    <w:p w14:paraId="51D155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olor w:val="auto"/>
          <w:kern w:val="0"/>
          <w:sz w:val="32"/>
          <w:szCs w:val="32"/>
          <w:highlight w:val="none"/>
        </w:rPr>
      </w:pPr>
    </w:p>
    <w:p w14:paraId="7FC1516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（填写正本或副本）</w:t>
      </w:r>
    </w:p>
    <w:p w14:paraId="0E314036">
      <w:pPr>
        <w:spacing w:line="360" w:lineRule="auto"/>
        <w:ind w:firstLine="480" w:firstLineChars="200"/>
        <w:jc w:val="center"/>
        <w:rPr>
          <w:rFonts w:hint="eastAsia" w:ascii="方正小标宋简体" w:hAnsi="方正小标宋简体" w:eastAsia="方正小标宋简体" w:cs="方正小标宋简体"/>
          <w:b w:val="0"/>
          <w:bCs/>
          <w:color w:val="auto"/>
          <w:kern w:val="0"/>
          <w:sz w:val="24"/>
          <w:szCs w:val="24"/>
          <w:highlight w:val="none"/>
        </w:rPr>
      </w:pPr>
    </w:p>
    <w:p w14:paraId="70A4916A">
      <w:pPr>
        <w:pStyle w:val="8"/>
        <w:rPr>
          <w:rFonts w:hint="eastAsia" w:ascii="方正小标宋简体" w:hAnsi="方正小标宋简体" w:eastAsia="方正小标宋简体" w:cs="方正小标宋简体"/>
          <w:b w:val="0"/>
          <w:bCs/>
          <w:color w:val="auto"/>
          <w:kern w:val="0"/>
          <w:sz w:val="24"/>
          <w:szCs w:val="24"/>
          <w:highlight w:val="none"/>
        </w:rPr>
      </w:pPr>
    </w:p>
    <w:p w14:paraId="5101C659">
      <w:pPr>
        <w:rPr>
          <w:rFonts w:hint="eastAsia"/>
          <w:color w:val="auto"/>
          <w:highlight w:val="none"/>
        </w:rPr>
      </w:pPr>
    </w:p>
    <w:p w14:paraId="761F3BB2">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项目名称：</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39A4F358">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项目编号：</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7D8A68E6">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所投采购包：</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183B22A4">
      <w:pPr>
        <w:keepNext w:val="0"/>
        <w:keepLines w:val="0"/>
        <w:pageBreakBefore w:val="0"/>
        <w:widowControl w:val="0"/>
        <w:kinsoku/>
        <w:wordWrap/>
        <w:overflowPunct/>
        <w:topLinePunct w:val="0"/>
        <w:autoSpaceDE/>
        <w:autoSpaceDN/>
        <w:bidi w:val="0"/>
        <w:adjustRightInd/>
        <w:snapToGrid/>
        <w:spacing w:line="360" w:lineRule="auto"/>
        <w:ind w:left="1470" w:leftChars="700" w:firstLine="480" w:firstLineChars="200"/>
        <w:jc w:val="center"/>
        <w:textAlignment w:val="auto"/>
        <w:rPr>
          <w:rFonts w:hint="eastAsia" w:ascii="方正小标宋简体" w:hAnsi="方正小标宋简体" w:eastAsia="方正小标宋简体" w:cs="方正小标宋简体"/>
          <w:b w:val="0"/>
          <w:bCs/>
          <w:color w:val="auto"/>
          <w:kern w:val="0"/>
          <w:sz w:val="24"/>
          <w:szCs w:val="24"/>
          <w:highlight w:val="none"/>
        </w:rPr>
      </w:pPr>
    </w:p>
    <w:p w14:paraId="53CE3D62">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投标人：</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15BF6671">
      <w:pPr>
        <w:keepNext w:val="0"/>
        <w:keepLines w:val="0"/>
        <w:pageBreakBefore w:val="0"/>
        <w:widowControl w:val="0"/>
        <w:kinsoku/>
        <w:wordWrap/>
        <w:overflowPunct/>
        <w:topLinePunct w:val="0"/>
        <w:autoSpaceDE/>
        <w:autoSpaceDN/>
        <w:bidi w:val="0"/>
        <w:adjustRightInd/>
        <w:snapToGrid/>
        <w:spacing w:line="360" w:lineRule="auto"/>
        <w:ind w:left="1470" w:leftChars="700" w:firstLine="1680" w:firstLineChars="700"/>
        <w:textAlignment w:val="auto"/>
        <w:rPr>
          <w:rFonts w:hint="eastAsia" w:ascii="方正小标宋简体" w:hAnsi="方正小标宋简体" w:eastAsia="方正小标宋简体" w:cs="方正小标宋简体"/>
          <w:b w:val="0"/>
          <w:bCs/>
          <w:color w:val="auto"/>
          <w:kern w:val="0"/>
          <w:sz w:val="24"/>
          <w:szCs w:val="24"/>
          <w:highlight w:val="none"/>
        </w:rPr>
      </w:pPr>
      <w:r>
        <w:rPr>
          <w:rFonts w:hint="eastAsia" w:ascii="方正小标宋简体" w:hAnsi="方正小标宋简体" w:eastAsia="方正小标宋简体" w:cs="方正小标宋简体"/>
          <w:b w:val="0"/>
          <w:bCs/>
          <w:color w:val="auto"/>
          <w:kern w:val="0"/>
          <w:sz w:val="24"/>
          <w:szCs w:val="24"/>
          <w:highlight w:val="none"/>
        </w:rPr>
        <w:t>日  期：</w:t>
      </w:r>
      <w:r>
        <w:rPr>
          <w:rFonts w:hint="eastAsia" w:ascii="方正小标宋简体" w:hAnsi="方正小标宋简体" w:eastAsia="方正小标宋简体" w:cs="方正小标宋简体"/>
          <w:b w:val="0"/>
          <w:bCs/>
          <w:color w:val="auto"/>
          <w:kern w:val="0"/>
          <w:sz w:val="24"/>
          <w:szCs w:val="24"/>
          <w:highlight w:val="none"/>
          <w:u w:val="single"/>
        </w:rPr>
        <w:t xml:space="preserve">                 </w:t>
      </w:r>
    </w:p>
    <w:p w14:paraId="72958581">
      <w:pPr>
        <w:widowControl/>
        <w:spacing w:after="0" w:line="240" w:lineRule="auto"/>
        <w:jc w:val="center"/>
        <w:rPr>
          <w:rFonts w:ascii="宋体" w:hAnsi="宋体" w:cs="宋体"/>
          <w:b/>
          <w:bCs/>
          <w:color w:val="auto"/>
          <w:sz w:val="28"/>
          <w:szCs w:val="28"/>
          <w:highlight w:val="none"/>
        </w:rPr>
      </w:pPr>
      <w:r>
        <w:rPr>
          <w:rFonts w:ascii="宋体" w:hAnsi="宋体" w:cs="宋体"/>
          <w:b/>
          <w:bCs/>
          <w:color w:val="auto"/>
          <w:sz w:val="36"/>
          <w:szCs w:val="36"/>
          <w:highlight w:val="none"/>
        </w:rPr>
        <w:br w:type="page"/>
      </w:r>
      <w:r>
        <w:rPr>
          <w:rFonts w:hint="default" w:ascii="Times New Roman" w:hAnsi="Times New Roman" w:cs="Times New Roman"/>
          <w:b/>
          <w:bCs/>
          <w:color w:val="auto"/>
          <w:sz w:val="28"/>
          <w:szCs w:val="28"/>
          <w:highlight w:val="none"/>
        </w:rPr>
        <w:t>格式9 技术</w:t>
      </w:r>
      <w:r>
        <w:rPr>
          <w:rFonts w:hint="eastAsia" w:ascii="宋体" w:hAnsi="宋体" w:cs="宋体"/>
          <w:b/>
          <w:bCs/>
          <w:color w:val="auto"/>
          <w:sz w:val="28"/>
          <w:szCs w:val="28"/>
          <w:highlight w:val="none"/>
        </w:rPr>
        <w:t>条款偏离表</w:t>
      </w:r>
    </w:p>
    <w:tbl>
      <w:tblPr>
        <w:tblStyle w:val="15"/>
        <w:tblW w:w="8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639"/>
      </w:tblGrid>
      <w:tr w14:paraId="7C08B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04C56E28">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1516" w:type="dxa"/>
            <w:noWrap/>
            <w:vAlign w:val="top"/>
          </w:tcPr>
          <w:p w14:paraId="34C227B3">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招标文件</w:t>
            </w:r>
          </w:p>
          <w:p w14:paraId="1AA6F166">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技术部分序号</w:t>
            </w:r>
          </w:p>
        </w:tc>
        <w:tc>
          <w:tcPr>
            <w:tcW w:w="2116" w:type="dxa"/>
            <w:noWrap/>
            <w:vAlign w:val="center"/>
          </w:tcPr>
          <w:p w14:paraId="0423544B">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招标文件</w:t>
            </w:r>
          </w:p>
          <w:p w14:paraId="39A9A46D">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技术部分内容要求</w:t>
            </w:r>
          </w:p>
        </w:tc>
        <w:tc>
          <w:tcPr>
            <w:tcW w:w="1684" w:type="dxa"/>
            <w:noWrap/>
            <w:vAlign w:val="center"/>
          </w:tcPr>
          <w:p w14:paraId="7640C094">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投标文件</w:t>
            </w:r>
          </w:p>
          <w:p w14:paraId="67079A1E">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应答情况</w:t>
            </w:r>
          </w:p>
        </w:tc>
        <w:tc>
          <w:tcPr>
            <w:tcW w:w="2090" w:type="dxa"/>
            <w:noWrap/>
            <w:vAlign w:val="center"/>
          </w:tcPr>
          <w:p w14:paraId="33E7723C">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偏离（无/正/负）</w:t>
            </w:r>
          </w:p>
        </w:tc>
        <w:tc>
          <w:tcPr>
            <w:tcW w:w="639" w:type="dxa"/>
            <w:noWrap/>
            <w:vAlign w:val="center"/>
          </w:tcPr>
          <w:p w14:paraId="03B8D4EF">
            <w:pPr>
              <w:adjustRightInd w:val="0"/>
              <w:snapToGri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备注</w:t>
            </w:r>
          </w:p>
        </w:tc>
      </w:tr>
      <w:tr w14:paraId="01CB0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3CC17DFB">
            <w:pPr>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516" w:type="dxa"/>
            <w:noWrap/>
            <w:vAlign w:val="center"/>
          </w:tcPr>
          <w:p w14:paraId="1A4A09CD">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2116" w:type="dxa"/>
            <w:noWrap/>
            <w:vAlign w:val="center"/>
          </w:tcPr>
          <w:p w14:paraId="2C77DA76">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1684" w:type="dxa"/>
            <w:noWrap/>
            <w:vAlign w:val="center"/>
          </w:tcPr>
          <w:p w14:paraId="54C7354D">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090" w:type="dxa"/>
            <w:noWrap/>
            <w:vAlign w:val="center"/>
          </w:tcPr>
          <w:p w14:paraId="0AB7565F">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639" w:type="dxa"/>
            <w:noWrap/>
            <w:vAlign w:val="center"/>
          </w:tcPr>
          <w:p w14:paraId="4D8FD00C">
            <w:pPr>
              <w:adjustRightInd w:val="0"/>
              <w:snapToGrid w:val="0"/>
              <w:spacing w:after="0" w:line="240" w:lineRule="auto"/>
              <w:jc w:val="center"/>
              <w:rPr>
                <w:rFonts w:hint="default" w:ascii="Times New Roman" w:hAnsi="Times New Roman" w:cs="Times New Roman"/>
                <w:color w:val="auto"/>
                <w:sz w:val="21"/>
                <w:szCs w:val="21"/>
                <w:highlight w:val="none"/>
              </w:rPr>
            </w:pPr>
          </w:p>
        </w:tc>
      </w:tr>
      <w:tr w14:paraId="72E1E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69683F5">
            <w:pPr>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516" w:type="dxa"/>
            <w:noWrap/>
            <w:vAlign w:val="center"/>
          </w:tcPr>
          <w:p w14:paraId="0B5D9218">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2116" w:type="dxa"/>
            <w:noWrap/>
            <w:vAlign w:val="center"/>
          </w:tcPr>
          <w:p w14:paraId="250C2277">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1684" w:type="dxa"/>
            <w:noWrap/>
            <w:vAlign w:val="center"/>
          </w:tcPr>
          <w:p w14:paraId="56A78704">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090" w:type="dxa"/>
            <w:noWrap/>
            <w:vAlign w:val="center"/>
          </w:tcPr>
          <w:p w14:paraId="6A843351">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639" w:type="dxa"/>
            <w:noWrap/>
            <w:vAlign w:val="center"/>
          </w:tcPr>
          <w:p w14:paraId="2E30BBD7">
            <w:pPr>
              <w:adjustRightInd w:val="0"/>
              <w:snapToGrid w:val="0"/>
              <w:spacing w:after="0" w:line="240" w:lineRule="auto"/>
              <w:jc w:val="center"/>
              <w:rPr>
                <w:rFonts w:hint="default" w:ascii="Times New Roman" w:hAnsi="Times New Roman" w:cs="Times New Roman"/>
                <w:color w:val="auto"/>
                <w:sz w:val="21"/>
                <w:szCs w:val="21"/>
                <w:highlight w:val="none"/>
              </w:rPr>
            </w:pPr>
          </w:p>
        </w:tc>
      </w:tr>
      <w:tr w14:paraId="645A5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05A79B23">
            <w:pPr>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516" w:type="dxa"/>
            <w:noWrap/>
            <w:vAlign w:val="center"/>
          </w:tcPr>
          <w:p w14:paraId="34ACBBDA">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2116" w:type="dxa"/>
            <w:noWrap/>
            <w:vAlign w:val="center"/>
          </w:tcPr>
          <w:p w14:paraId="6105DF49">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1684" w:type="dxa"/>
            <w:noWrap/>
            <w:vAlign w:val="center"/>
          </w:tcPr>
          <w:p w14:paraId="7619E505">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090" w:type="dxa"/>
            <w:noWrap/>
            <w:vAlign w:val="center"/>
          </w:tcPr>
          <w:p w14:paraId="4C00BE31">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639" w:type="dxa"/>
            <w:noWrap/>
            <w:vAlign w:val="center"/>
          </w:tcPr>
          <w:p w14:paraId="4D5ACFE3">
            <w:pPr>
              <w:adjustRightInd w:val="0"/>
              <w:snapToGrid w:val="0"/>
              <w:spacing w:after="0" w:line="240" w:lineRule="auto"/>
              <w:jc w:val="center"/>
              <w:rPr>
                <w:rFonts w:hint="default" w:ascii="Times New Roman" w:hAnsi="Times New Roman" w:cs="Times New Roman"/>
                <w:color w:val="auto"/>
                <w:sz w:val="21"/>
                <w:szCs w:val="21"/>
                <w:highlight w:val="none"/>
              </w:rPr>
            </w:pPr>
          </w:p>
        </w:tc>
      </w:tr>
      <w:tr w14:paraId="10CD2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6D4F8B87">
            <w:pPr>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516" w:type="dxa"/>
            <w:noWrap/>
            <w:vAlign w:val="center"/>
          </w:tcPr>
          <w:p w14:paraId="4D1A2B1C">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2116" w:type="dxa"/>
            <w:noWrap/>
            <w:vAlign w:val="center"/>
          </w:tcPr>
          <w:p w14:paraId="549985F4">
            <w:pPr>
              <w:adjustRightInd w:val="0"/>
              <w:snapToGrid w:val="0"/>
              <w:spacing w:after="0" w:line="240" w:lineRule="auto"/>
              <w:ind w:left="50" w:leftChars="24" w:right="55" w:rightChars="26"/>
              <w:jc w:val="center"/>
              <w:rPr>
                <w:rFonts w:hint="default" w:ascii="Times New Roman" w:hAnsi="Times New Roman" w:cs="Times New Roman"/>
                <w:color w:val="auto"/>
                <w:sz w:val="21"/>
                <w:szCs w:val="21"/>
                <w:highlight w:val="none"/>
              </w:rPr>
            </w:pPr>
          </w:p>
        </w:tc>
        <w:tc>
          <w:tcPr>
            <w:tcW w:w="1684" w:type="dxa"/>
            <w:noWrap/>
            <w:vAlign w:val="center"/>
          </w:tcPr>
          <w:p w14:paraId="4146D894">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090" w:type="dxa"/>
            <w:noWrap/>
            <w:vAlign w:val="center"/>
          </w:tcPr>
          <w:p w14:paraId="05C1FFAE">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639" w:type="dxa"/>
            <w:noWrap/>
            <w:vAlign w:val="center"/>
          </w:tcPr>
          <w:p w14:paraId="318B06C6">
            <w:pPr>
              <w:adjustRightInd w:val="0"/>
              <w:snapToGrid w:val="0"/>
              <w:spacing w:after="0" w:line="240" w:lineRule="auto"/>
              <w:jc w:val="center"/>
              <w:rPr>
                <w:rFonts w:hint="default" w:ascii="Times New Roman" w:hAnsi="Times New Roman" w:cs="Times New Roman"/>
                <w:color w:val="auto"/>
                <w:sz w:val="21"/>
                <w:szCs w:val="21"/>
                <w:highlight w:val="none"/>
              </w:rPr>
            </w:pPr>
          </w:p>
        </w:tc>
      </w:tr>
      <w:tr w14:paraId="0C365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353674D9">
            <w:pPr>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516" w:type="dxa"/>
            <w:noWrap/>
            <w:vAlign w:val="center"/>
          </w:tcPr>
          <w:p w14:paraId="5ED09D14">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116" w:type="dxa"/>
            <w:noWrap/>
            <w:vAlign w:val="center"/>
          </w:tcPr>
          <w:p w14:paraId="304898FB">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684" w:type="dxa"/>
            <w:noWrap/>
            <w:vAlign w:val="center"/>
          </w:tcPr>
          <w:p w14:paraId="6C63AC95">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090" w:type="dxa"/>
            <w:noWrap/>
            <w:vAlign w:val="center"/>
          </w:tcPr>
          <w:p w14:paraId="73F0586D">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639" w:type="dxa"/>
            <w:noWrap/>
            <w:vAlign w:val="center"/>
          </w:tcPr>
          <w:p w14:paraId="066F016B">
            <w:pPr>
              <w:adjustRightInd w:val="0"/>
              <w:snapToGrid w:val="0"/>
              <w:spacing w:after="0" w:line="240" w:lineRule="auto"/>
              <w:jc w:val="center"/>
              <w:rPr>
                <w:rFonts w:hint="default" w:ascii="Times New Roman" w:hAnsi="Times New Roman" w:cs="Times New Roman"/>
                <w:color w:val="auto"/>
                <w:sz w:val="21"/>
                <w:szCs w:val="21"/>
                <w:highlight w:val="none"/>
              </w:rPr>
            </w:pPr>
          </w:p>
        </w:tc>
      </w:tr>
      <w:tr w14:paraId="43F79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55B0A9CC">
            <w:pPr>
              <w:adjustRightInd w:val="0"/>
              <w:snapToGri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516" w:type="dxa"/>
            <w:noWrap/>
            <w:vAlign w:val="center"/>
          </w:tcPr>
          <w:p w14:paraId="0C483476">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116" w:type="dxa"/>
            <w:noWrap/>
            <w:vAlign w:val="center"/>
          </w:tcPr>
          <w:p w14:paraId="473ACB89">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1684" w:type="dxa"/>
            <w:noWrap/>
            <w:vAlign w:val="center"/>
          </w:tcPr>
          <w:p w14:paraId="5CDA306A">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2090" w:type="dxa"/>
            <w:noWrap/>
            <w:vAlign w:val="center"/>
          </w:tcPr>
          <w:p w14:paraId="327CA44C">
            <w:pPr>
              <w:adjustRightInd w:val="0"/>
              <w:snapToGrid w:val="0"/>
              <w:spacing w:after="0" w:line="240" w:lineRule="auto"/>
              <w:jc w:val="center"/>
              <w:rPr>
                <w:rFonts w:hint="default" w:ascii="Times New Roman" w:hAnsi="Times New Roman" w:cs="Times New Roman"/>
                <w:color w:val="auto"/>
                <w:sz w:val="21"/>
                <w:szCs w:val="21"/>
                <w:highlight w:val="none"/>
              </w:rPr>
            </w:pPr>
          </w:p>
        </w:tc>
        <w:tc>
          <w:tcPr>
            <w:tcW w:w="639" w:type="dxa"/>
            <w:noWrap/>
            <w:vAlign w:val="center"/>
          </w:tcPr>
          <w:p w14:paraId="1C4714D5">
            <w:pPr>
              <w:adjustRightInd w:val="0"/>
              <w:snapToGrid w:val="0"/>
              <w:spacing w:after="0" w:line="240" w:lineRule="auto"/>
              <w:jc w:val="center"/>
              <w:rPr>
                <w:rFonts w:hint="default" w:ascii="Times New Roman" w:hAnsi="Times New Roman" w:cs="Times New Roman"/>
                <w:color w:val="auto"/>
                <w:sz w:val="21"/>
                <w:szCs w:val="21"/>
                <w:highlight w:val="none"/>
              </w:rPr>
            </w:pPr>
          </w:p>
        </w:tc>
      </w:tr>
    </w:tbl>
    <w:p w14:paraId="6D53B87D">
      <w:pPr>
        <w:topLinePunct/>
        <w:autoSpaceDE w:val="0"/>
        <w:autoSpaceDN w:val="0"/>
        <w:spacing w:after="0" w:line="360" w:lineRule="auto"/>
        <w:rPr>
          <w:rFonts w:ascii="宋体" w:hAnsi="宋体" w:cs="宋体"/>
          <w:color w:val="auto"/>
          <w:szCs w:val="21"/>
          <w:highlight w:val="none"/>
        </w:rPr>
      </w:pPr>
      <w:r>
        <w:rPr>
          <w:rFonts w:hint="eastAsia" w:ascii="宋体" w:hAnsi="宋体" w:cs="宋体"/>
          <w:color w:val="auto"/>
          <w:szCs w:val="21"/>
          <w:highlight w:val="none"/>
        </w:rPr>
        <w:t>特别说明：</w:t>
      </w:r>
    </w:p>
    <w:p w14:paraId="493AA8E5">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1.按照《招标文件-技术部分》内容要求，一一对应填写。如果对《招标文件-技术部分》内容不做一一响应，而将“投标文件应答情况”简单笼统描述为“无偏离”，则视为无效应答。</w:t>
      </w:r>
    </w:p>
    <w:p w14:paraId="289ECAC7">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2.《招标文件-技术部分》内容须条对条应答，不得遗漏；如有遗漏，则视为无效应答。如无偏离，请在此表中填写“无偏离”。如有偏离，请在此表中应答为“正/负偏离”并说明偏离情况；</w:t>
      </w:r>
    </w:p>
    <w:p w14:paraId="19338A77">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3.如《招标文件-技术部分》中有标注★号的，则为实质性要求，必须满足，如应答为“负偏离”，将导致投标无效。</w:t>
      </w:r>
    </w:p>
    <w:p w14:paraId="3F18C428">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p>
    <w:p w14:paraId="3A46A1A4">
      <w:pPr>
        <w:pStyle w:val="22"/>
        <w:spacing w:after="156"/>
        <w:ind w:firstLine="400"/>
        <w:rPr>
          <w:color w:val="auto"/>
          <w:sz w:val="21"/>
          <w:szCs w:val="21"/>
          <w:highlight w:val="none"/>
        </w:rPr>
      </w:pPr>
    </w:p>
    <w:p w14:paraId="11BBBF39">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ascii="宋体" w:hAnsi="宋体"/>
          <w:color w:val="auto"/>
          <w:kern w:val="0"/>
          <w:sz w:val="21"/>
          <w:szCs w:val="21"/>
          <w:highlight w:val="none"/>
        </w:rPr>
        <w:t>（全称并加盖公章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6850D5F5">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olor w:val="auto"/>
          <w:kern w:val="0"/>
          <w:sz w:val="21"/>
          <w:szCs w:val="21"/>
          <w:highlight w:val="none"/>
        </w:rPr>
        <w:t>投标人代表（签字或盖章）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7249822B">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44EB8D70">
      <w:pPr>
        <w:jc w:val="center"/>
        <w:rPr>
          <w:b/>
          <w:bCs/>
          <w:color w:val="auto"/>
          <w:sz w:val="36"/>
          <w:szCs w:val="36"/>
          <w:highlight w:val="none"/>
        </w:rPr>
      </w:pPr>
      <w:r>
        <w:rPr>
          <w:rFonts w:hint="eastAsia" w:hAnsi="宋体" w:cs="宋体"/>
          <w:color w:val="auto"/>
          <w:sz w:val="24"/>
          <w:highlight w:val="none"/>
        </w:rPr>
        <w:br w:type="page"/>
      </w:r>
      <w:r>
        <w:rPr>
          <w:rFonts w:hint="eastAsia" w:ascii="宋体" w:hAnsi="宋体" w:eastAsia="宋体"/>
          <w:b/>
          <w:bCs/>
          <w:color w:val="auto"/>
          <w:sz w:val="28"/>
          <w:szCs w:val="28"/>
          <w:highlight w:val="none"/>
        </w:rPr>
        <w:t>格式</w:t>
      </w:r>
      <w:r>
        <w:rPr>
          <w:rFonts w:hint="default" w:ascii="Times New Roman" w:hAnsi="Times New Roman" w:eastAsia="宋体" w:cs="Times New Roman"/>
          <w:b/>
          <w:bCs/>
          <w:color w:val="auto"/>
          <w:sz w:val="28"/>
          <w:szCs w:val="28"/>
          <w:highlight w:val="none"/>
        </w:rPr>
        <w:t>10</w:t>
      </w:r>
      <w:r>
        <w:rPr>
          <w:rFonts w:hint="eastAsia" w:ascii="宋体" w:hAnsi="宋体" w:eastAsia="宋体"/>
          <w:b/>
          <w:bCs/>
          <w:color w:val="auto"/>
          <w:sz w:val="28"/>
          <w:szCs w:val="28"/>
          <w:highlight w:val="none"/>
        </w:rPr>
        <w:t>货</w:t>
      </w:r>
      <w:r>
        <w:rPr>
          <w:rFonts w:hint="eastAsia"/>
          <w:b/>
          <w:bCs/>
          <w:color w:val="auto"/>
          <w:sz w:val="28"/>
          <w:szCs w:val="28"/>
          <w:highlight w:val="none"/>
        </w:rPr>
        <w:t>物说明一览表、服务方案、实施方案及技术方案</w:t>
      </w:r>
    </w:p>
    <w:p w14:paraId="012787AE">
      <w:pPr>
        <w:spacing w:after="0" w:line="240" w:lineRule="auto"/>
        <w:ind w:firstLine="420" w:firstLineChars="200"/>
        <w:rPr>
          <w:color w:val="auto"/>
          <w:szCs w:val="21"/>
          <w:highlight w:val="none"/>
        </w:rPr>
      </w:pPr>
    </w:p>
    <w:p w14:paraId="050F0C73">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货物说明一览表</w:t>
      </w:r>
    </w:p>
    <w:p w14:paraId="5F876996">
      <w:pPr>
        <w:topLinePunct/>
        <w:autoSpaceDE w:val="0"/>
        <w:autoSpaceDN w:val="0"/>
        <w:adjustRightInd w:val="0"/>
        <w:snapToGrid w:val="0"/>
        <w:spacing w:after="0" w:line="360" w:lineRule="auto"/>
        <w:jc w:val="left"/>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ab/>
      </w:r>
      <w:r>
        <w:rPr>
          <w:rFonts w:hint="eastAsia" w:ascii="宋体" w:hAnsi="宋体" w:cs="宋体"/>
          <w:color w:val="auto"/>
          <w:highlight w:val="none"/>
        </w:rPr>
        <w:t>项目编号：</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tbl>
      <w:tblPr>
        <w:tblStyle w:val="15"/>
        <w:tblpPr w:leftFromText="180" w:rightFromText="180" w:vertAnchor="text" w:horzAnchor="page" w:tblpX="1408" w:tblpY="38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290"/>
        <w:gridCol w:w="1511"/>
        <w:gridCol w:w="1290"/>
        <w:gridCol w:w="2827"/>
        <w:gridCol w:w="850"/>
      </w:tblGrid>
      <w:tr w14:paraId="0FC5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14:paraId="2C6AD4DB">
            <w:pPr>
              <w:spacing w:after="0" w:line="360" w:lineRule="auto"/>
              <w:jc w:val="center"/>
              <w:rPr>
                <w:color w:val="auto"/>
                <w:sz w:val="21"/>
                <w:szCs w:val="21"/>
                <w:highlight w:val="none"/>
              </w:rPr>
            </w:pPr>
            <w:r>
              <w:rPr>
                <w:rFonts w:hint="eastAsia"/>
                <w:color w:val="auto"/>
                <w:sz w:val="21"/>
                <w:szCs w:val="21"/>
                <w:highlight w:val="none"/>
              </w:rPr>
              <w:t>序号</w:t>
            </w:r>
          </w:p>
        </w:tc>
        <w:tc>
          <w:tcPr>
            <w:tcW w:w="748" w:type="pct"/>
            <w:noWrap w:val="0"/>
            <w:vAlign w:val="center"/>
          </w:tcPr>
          <w:p w14:paraId="1F980F7B">
            <w:pPr>
              <w:spacing w:after="0" w:line="360" w:lineRule="auto"/>
              <w:jc w:val="center"/>
              <w:rPr>
                <w:color w:val="auto"/>
                <w:sz w:val="21"/>
                <w:szCs w:val="21"/>
                <w:highlight w:val="none"/>
              </w:rPr>
            </w:pPr>
            <w:r>
              <w:rPr>
                <w:rFonts w:hint="eastAsia"/>
                <w:color w:val="auto"/>
                <w:sz w:val="21"/>
                <w:szCs w:val="21"/>
                <w:highlight w:val="none"/>
              </w:rPr>
              <w:t>货物名称</w:t>
            </w:r>
          </w:p>
        </w:tc>
        <w:tc>
          <w:tcPr>
            <w:tcW w:w="876" w:type="pct"/>
            <w:noWrap w:val="0"/>
            <w:vAlign w:val="center"/>
          </w:tcPr>
          <w:p w14:paraId="2FBECF6F">
            <w:pPr>
              <w:spacing w:after="0" w:line="360" w:lineRule="auto"/>
              <w:jc w:val="center"/>
              <w:rPr>
                <w:color w:val="auto"/>
                <w:sz w:val="21"/>
                <w:szCs w:val="21"/>
                <w:highlight w:val="none"/>
              </w:rPr>
            </w:pPr>
            <w:r>
              <w:rPr>
                <w:rFonts w:hint="eastAsia"/>
                <w:color w:val="auto"/>
                <w:sz w:val="21"/>
                <w:szCs w:val="21"/>
                <w:highlight w:val="none"/>
              </w:rPr>
              <w:t>制造商名称</w:t>
            </w:r>
          </w:p>
        </w:tc>
        <w:tc>
          <w:tcPr>
            <w:tcW w:w="748" w:type="pct"/>
            <w:noWrap w:val="0"/>
            <w:vAlign w:val="center"/>
          </w:tcPr>
          <w:p w14:paraId="67DC0D50">
            <w:pPr>
              <w:spacing w:after="0" w:line="360" w:lineRule="auto"/>
              <w:jc w:val="center"/>
              <w:rPr>
                <w:color w:val="auto"/>
                <w:sz w:val="21"/>
                <w:szCs w:val="21"/>
                <w:highlight w:val="none"/>
              </w:rPr>
            </w:pPr>
            <w:r>
              <w:rPr>
                <w:rFonts w:hint="eastAsia"/>
                <w:color w:val="auto"/>
                <w:sz w:val="21"/>
                <w:szCs w:val="21"/>
                <w:highlight w:val="none"/>
              </w:rPr>
              <w:t>型号规格</w:t>
            </w:r>
          </w:p>
        </w:tc>
        <w:tc>
          <w:tcPr>
            <w:tcW w:w="1639" w:type="pct"/>
            <w:noWrap w:val="0"/>
            <w:vAlign w:val="center"/>
          </w:tcPr>
          <w:p w14:paraId="6D36FCD3">
            <w:pPr>
              <w:spacing w:after="0" w:line="360" w:lineRule="auto"/>
              <w:jc w:val="center"/>
              <w:rPr>
                <w:color w:val="auto"/>
                <w:sz w:val="21"/>
                <w:szCs w:val="21"/>
                <w:highlight w:val="none"/>
              </w:rPr>
            </w:pPr>
            <w:r>
              <w:rPr>
                <w:rFonts w:hint="eastAsia"/>
                <w:color w:val="auto"/>
                <w:sz w:val="21"/>
                <w:szCs w:val="21"/>
                <w:highlight w:val="none"/>
              </w:rPr>
              <w:t>主要技术参数和技术指标</w:t>
            </w:r>
          </w:p>
        </w:tc>
        <w:tc>
          <w:tcPr>
            <w:tcW w:w="493" w:type="pct"/>
            <w:noWrap w:val="0"/>
            <w:vAlign w:val="center"/>
          </w:tcPr>
          <w:p w14:paraId="328899BC">
            <w:pPr>
              <w:spacing w:after="0" w:line="360" w:lineRule="auto"/>
              <w:jc w:val="center"/>
              <w:rPr>
                <w:color w:val="auto"/>
                <w:sz w:val="21"/>
                <w:szCs w:val="21"/>
                <w:highlight w:val="none"/>
              </w:rPr>
            </w:pPr>
            <w:r>
              <w:rPr>
                <w:rFonts w:hint="eastAsia"/>
                <w:color w:val="auto"/>
                <w:sz w:val="21"/>
                <w:szCs w:val="21"/>
                <w:highlight w:val="none"/>
              </w:rPr>
              <w:t>备注</w:t>
            </w:r>
          </w:p>
        </w:tc>
      </w:tr>
      <w:tr w14:paraId="1690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14:paraId="6341A295">
            <w:pPr>
              <w:spacing w:after="0" w:line="360" w:lineRule="auto"/>
              <w:jc w:val="center"/>
              <w:rPr>
                <w:color w:val="auto"/>
                <w:sz w:val="21"/>
                <w:szCs w:val="21"/>
                <w:highlight w:val="none"/>
              </w:rPr>
            </w:pPr>
          </w:p>
        </w:tc>
        <w:tc>
          <w:tcPr>
            <w:tcW w:w="748" w:type="pct"/>
            <w:noWrap w:val="0"/>
            <w:vAlign w:val="center"/>
          </w:tcPr>
          <w:p w14:paraId="1EA717AC">
            <w:pPr>
              <w:spacing w:after="0" w:line="360" w:lineRule="auto"/>
              <w:jc w:val="center"/>
              <w:rPr>
                <w:color w:val="auto"/>
                <w:sz w:val="21"/>
                <w:szCs w:val="21"/>
                <w:highlight w:val="none"/>
              </w:rPr>
            </w:pPr>
          </w:p>
        </w:tc>
        <w:tc>
          <w:tcPr>
            <w:tcW w:w="876" w:type="pct"/>
            <w:noWrap w:val="0"/>
            <w:vAlign w:val="center"/>
          </w:tcPr>
          <w:p w14:paraId="73539F51">
            <w:pPr>
              <w:spacing w:after="0" w:line="360" w:lineRule="auto"/>
              <w:jc w:val="center"/>
              <w:rPr>
                <w:color w:val="auto"/>
                <w:sz w:val="21"/>
                <w:szCs w:val="21"/>
                <w:highlight w:val="none"/>
              </w:rPr>
            </w:pPr>
          </w:p>
        </w:tc>
        <w:tc>
          <w:tcPr>
            <w:tcW w:w="748" w:type="pct"/>
            <w:noWrap w:val="0"/>
            <w:vAlign w:val="center"/>
          </w:tcPr>
          <w:p w14:paraId="48C41ECD">
            <w:pPr>
              <w:spacing w:after="0" w:line="360" w:lineRule="auto"/>
              <w:jc w:val="center"/>
              <w:rPr>
                <w:color w:val="auto"/>
                <w:sz w:val="21"/>
                <w:szCs w:val="21"/>
                <w:highlight w:val="none"/>
              </w:rPr>
            </w:pPr>
          </w:p>
        </w:tc>
        <w:tc>
          <w:tcPr>
            <w:tcW w:w="1639" w:type="pct"/>
            <w:noWrap w:val="0"/>
            <w:vAlign w:val="center"/>
          </w:tcPr>
          <w:p w14:paraId="7A45B1AD">
            <w:pPr>
              <w:spacing w:after="0" w:line="360" w:lineRule="auto"/>
              <w:jc w:val="center"/>
              <w:rPr>
                <w:color w:val="auto"/>
                <w:sz w:val="21"/>
                <w:szCs w:val="21"/>
                <w:highlight w:val="none"/>
              </w:rPr>
            </w:pPr>
          </w:p>
        </w:tc>
        <w:tc>
          <w:tcPr>
            <w:tcW w:w="493" w:type="pct"/>
            <w:noWrap w:val="0"/>
            <w:vAlign w:val="center"/>
          </w:tcPr>
          <w:p w14:paraId="4C83738D">
            <w:pPr>
              <w:spacing w:after="0" w:line="360" w:lineRule="auto"/>
              <w:jc w:val="center"/>
              <w:rPr>
                <w:color w:val="auto"/>
                <w:sz w:val="21"/>
                <w:szCs w:val="21"/>
                <w:highlight w:val="none"/>
              </w:rPr>
            </w:pPr>
          </w:p>
        </w:tc>
      </w:tr>
      <w:tr w14:paraId="62ED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14:paraId="0480C4A1">
            <w:pPr>
              <w:spacing w:after="0" w:line="360" w:lineRule="auto"/>
              <w:jc w:val="center"/>
              <w:rPr>
                <w:color w:val="auto"/>
                <w:sz w:val="21"/>
                <w:szCs w:val="21"/>
                <w:highlight w:val="none"/>
              </w:rPr>
            </w:pPr>
          </w:p>
        </w:tc>
        <w:tc>
          <w:tcPr>
            <w:tcW w:w="748" w:type="pct"/>
            <w:noWrap w:val="0"/>
            <w:vAlign w:val="center"/>
          </w:tcPr>
          <w:p w14:paraId="3B122CF7">
            <w:pPr>
              <w:spacing w:after="0" w:line="360" w:lineRule="auto"/>
              <w:jc w:val="center"/>
              <w:rPr>
                <w:color w:val="auto"/>
                <w:sz w:val="21"/>
                <w:szCs w:val="21"/>
                <w:highlight w:val="none"/>
              </w:rPr>
            </w:pPr>
          </w:p>
        </w:tc>
        <w:tc>
          <w:tcPr>
            <w:tcW w:w="876" w:type="pct"/>
            <w:noWrap w:val="0"/>
            <w:vAlign w:val="center"/>
          </w:tcPr>
          <w:p w14:paraId="6F2E4148">
            <w:pPr>
              <w:spacing w:after="0" w:line="360" w:lineRule="auto"/>
              <w:jc w:val="center"/>
              <w:rPr>
                <w:color w:val="auto"/>
                <w:sz w:val="21"/>
                <w:szCs w:val="21"/>
                <w:highlight w:val="none"/>
              </w:rPr>
            </w:pPr>
          </w:p>
        </w:tc>
        <w:tc>
          <w:tcPr>
            <w:tcW w:w="748" w:type="pct"/>
            <w:noWrap w:val="0"/>
            <w:vAlign w:val="center"/>
          </w:tcPr>
          <w:p w14:paraId="047C6C76">
            <w:pPr>
              <w:spacing w:after="0" w:line="360" w:lineRule="auto"/>
              <w:jc w:val="center"/>
              <w:rPr>
                <w:color w:val="auto"/>
                <w:sz w:val="21"/>
                <w:szCs w:val="21"/>
                <w:highlight w:val="none"/>
              </w:rPr>
            </w:pPr>
          </w:p>
        </w:tc>
        <w:tc>
          <w:tcPr>
            <w:tcW w:w="1639" w:type="pct"/>
            <w:noWrap w:val="0"/>
            <w:vAlign w:val="center"/>
          </w:tcPr>
          <w:p w14:paraId="023411B2">
            <w:pPr>
              <w:spacing w:after="0" w:line="360" w:lineRule="auto"/>
              <w:jc w:val="center"/>
              <w:rPr>
                <w:color w:val="auto"/>
                <w:sz w:val="21"/>
                <w:szCs w:val="21"/>
                <w:highlight w:val="none"/>
              </w:rPr>
            </w:pPr>
          </w:p>
        </w:tc>
        <w:tc>
          <w:tcPr>
            <w:tcW w:w="493" w:type="pct"/>
            <w:noWrap w:val="0"/>
            <w:vAlign w:val="center"/>
          </w:tcPr>
          <w:p w14:paraId="4EF6DBB9">
            <w:pPr>
              <w:spacing w:after="0" w:line="360" w:lineRule="auto"/>
              <w:jc w:val="center"/>
              <w:rPr>
                <w:color w:val="auto"/>
                <w:sz w:val="21"/>
                <w:szCs w:val="21"/>
                <w:highlight w:val="none"/>
              </w:rPr>
            </w:pPr>
          </w:p>
        </w:tc>
      </w:tr>
      <w:tr w14:paraId="7B5D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14:paraId="73CEF8FC">
            <w:pPr>
              <w:spacing w:after="0" w:line="360" w:lineRule="auto"/>
              <w:jc w:val="center"/>
              <w:rPr>
                <w:color w:val="auto"/>
                <w:sz w:val="21"/>
                <w:szCs w:val="21"/>
                <w:highlight w:val="none"/>
              </w:rPr>
            </w:pPr>
          </w:p>
        </w:tc>
        <w:tc>
          <w:tcPr>
            <w:tcW w:w="748" w:type="pct"/>
            <w:noWrap w:val="0"/>
            <w:vAlign w:val="center"/>
          </w:tcPr>
          <w:p w14:paraId="708BA271">
            <w:pPr>
              <w:spacing w:after="0" w:line="360" w:lineRule="auto"/>
              <w:jc w:val="center"/>
              <w:rPr>
                <w:color w:val="auto"/>
                <w:sz w:val="21"/>
                <w:szCs w:val="21"/>
                <w:highlight w:val="none"/>
              </w:rPr>
            </w:pPr>
          </w:p>
        </w:tc>
        <w:tc>
          <w:tcPr>
            <w:tcW w:w="876" w:type="pct"/>
            <w:noWrap w:val="0"/>
            <w:vAlign w:val="center"/>
          </w:tcPr>
          <w:p w14:paraId="571ACB9C">
            <w:pPr>
              <w:spacing w:after="0" w:line="360" w:lineRule="auto"/>
              <w:jc w:val="center"/>
              <w:rPr>
                <w:color w:val="auto"/>
                <w:sz w:val="21"/>
                <w:szCs w:val="21"/>
                <w:highlight w:val="none"/>
              </w:rPr>
            </w:pPr>
          </w:p>
        </w:tc>
        <w:tc>
          <w:tcPr>
            <w:tcW w:w="748" w:type="pct"/>
            <w:noWrap w:val="0"/>
            <w:vAlign w:val="center"/>
          </w:tcPr>
          <w:p w14:paraId="76FB53BB">
            <w:pPr>
              <w:spacing w:after="0" w:line="360" w:lineRule="auto"/>
              <w:jc w:val="center"/>
              <w:rPr>
                <w:color w:val="auto"/>
                <w:sz w:val="21"/>
                <w:szCs w:val="21"/>
                <w:highlight w:val="none"/>
              </w:rPr>
            </w:pPr>
          </w:p>
        </w:tc>
        <w:tc>
          <w:tcPr>
            <w:tcW w:w="1639" w:type="pct"/>
            <w:noWrap w:val="0"/>
            <w:vAlign w:val="center"/>
          </w:tcPr>
          <w:p w14:paraId="2099D02E">
            <w:pPr>
              <w:spacing w:after="0" w:line="360" w:lineRule="auto"/>
              <w:jc w:val="center"/>
              <w:rPr>
                <w:color w:val="auto"/>
                <w:sz w:val="21"/>
                <w:szCs w:val="21"/>
                <w:highlight w:val="none"/>
              </w:rPr>
            </w:pPr>
          </w:p>
        </w:tc>
        <w:tc>
          <w:tcPr>
            <w:tcW w:w="493" w:type="pct"/>
            <w:noWrap w:val="0"/>
            <w:vAlign w:val="center"/>
          </w:tcPr>
          <w:p w14:paraId="4C9284B5">
            <w:pPr>
              <w:spacing w:after="0" w:line="360" w:lineRule="auto"/>
              <w:jc w:val="center"/>
              <w:rPr>
                <w:color w:val="auto"/>
                <w:sz w:val="21"/>
                <w:szCs w:val="21"/>
                <w:highlight w:val="none"/>
              </w:rPr>
            </w:pPr>
          </w:p>
        </w:tc>
      </w:tr>
      <w:tr w14:paraId="506A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noWrap w:val="0"/>
            <w:vAlign w:val="center"/>
          </w:tcPr>
          <w:p w14:paraId="78B1BEED">
            <w:pPr>
              <w:spacing w:after="0" w:line="360" w:lineRule="auto"/>
              <w:jc w:val="center"/>
              <w:rPr>
                <w:color w:val="auto"/>
                <w:sz w:val="21"/>
                <w:szCs w:val="21"/>
                <w:highlight w:val="none"/>
              </w:rPr>
            </w:pPr>
          </w:p>
        </w:tc>
        <w:tc>
          <w:tcPr>
            <w:tcW w:w="748" w:type="pct"/>
            <w:noWrap w:val="0"/>
            <w:vAlign w:val="center"/>
          </w:tcPr>
          <w:p w14:paraId="61DF1B17">
            <w:pPr>
              <w:spacing w:after="0" w:line="360" w:lineRule="auto"/>
              <w:jc w:val="center"/>
              <w:rPr>
                <w:color w:val="auto"/>
                <w:sz w:val="21"/>
                <w:szCs w:val="21"/>
                <w:highlight w:val="none"/>
              </w:rPr>
            </w:pPr>
          </w:p>
        </w:tc>
        <w:tc>
          <w:tcPr>
            <w:tcW w:w="876" w:type="pct"/>
            <w:noWrap w:val="0"/>
            <w:vAlign w:val="center"/>
          </w:tcPr>
          <w:p w14:paraId="4E502A70">
            <w:pPr>
              <w:spacing w:after="0" w:line="360" w:lineRule="auto"/>
              <w:jc w:val="center"/>
              <w:rPr>
                <w:color w:val="auto"/>
                <w:sz w:val="21"/>
                <w:szCs w:val="21"/>
                <w:highlight w:val="none"/>
              </w:rPr>
            </w:pPr>
          </w:p>
        </w:tc>
        <w:tc>
          <w:tcPr>
            <w:tcW w:w="748" w:type="pct"/>
            <w:noWrap w:val="0"/>
            <w:vAlign w:val="center"/>
          </w:tcPr>
          <w:p w14:paraId="2CBB4B56">
            <w:pPr>
              <w:spacing w:after="0" w:line="360" w:lineRule="auto"/>
              <w:jc w:val="center"/>
              <w:rPr>
                <w:color w:val="auto"/>
                <w:sz w:val="21"/>
                <w:szCs w:val="21"/>
                <w:highlight w:val="none"/>
              </w:rPr>
            </w:pPr>
          </w:p>
        </w:tc>
        <w:tc>
          <w:tcPr>
            <w:tcW w:w="1639" w:type="pct"/>
            <w:noWrap w:val="0"/>
            <w:vAlign w:val="center"/>
          </w:tcPr>
          <w:p w14:paraId="76759321">
            <w:pPr>
              <w:spacing w:after="0" w:line="360" w:lineRule="auto"/>
              <w:jc w:val="center"/>
              <w:rPr>
                <w:color w:val="auto"/>
                <w:sz w:val="21"/>
                <w:szCs w:val="21"/>
                <w:highlight w:val="none"/>
              </w:rPr>
            </w:pPr>
          </w:p>
        </w:tc>
        <w:tc>
          <w:tcPr>
            <w:tcW w:w="493" w:type="pct"/>
            <w:noWrap w:val="0"/>
            <w:vAlign w:val="center"/>
          </w:tcPr>
          <w:p w14:paraId="067A917E">
            <w:pPr>
              <w:spacing w:after="0" w:line="360" w:lineRule="auto"/>
              <w:jc w:val="center"/>
              <w:rPr>
                <w:color w:val="auto"/>
                <w:sz w:val="21"/>
                <w:szCs w:val="21"/>
                <w:highlight w:val="none"/>
              </w:rPr>
            </w:pPr>
          </w:p>
        </w:tc>
      </w:tr>
    </w:tbl>
    <w:p w14:paraId="2CB30648">
      <w:pPr>
        <w:adjustRightInd w:val="0"/>
        <w:snapToGrid w:val="0"/>
        <w:spacing w:after="0" w:line="360" w:lineRule="auto"/>
        <w:ind w:right="840"/>
        <w:rPr>
          <w:rFonts w:ascii="宋体" w:hAnsi="宋体" w:cs="宋体"/>
          <w:bCs/>
          <w:color w:val="auto"/>
          <w:w w:val="150"/>
          <w:sz w:val="21"/>
          <w:szCs w:val="21"/>
          <w:highlight w:val="none"/>
        </w:rPr>
      </w:pPr>
      <w:r>
        <w:rPr>
          <w:rFonts w:hint="eastAsia" w:ascii="宋体" w:hAnsi="宋体" w:cs="宋体"/>
          <w:color w:val="auto"/>
          <w:sz w:val="21"/>
          <w:szCs w:val="21"/>
          <w:highlight w:val="none"/>
        </w:rPr>
        <w:t>采购包号：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价格单位：人民币   元</w:t>
      </w:r>
    </w:p>
    <w:p w14:paraId="34BDF5B7">
      <w:pPr>
        <w:topLinePunct/>
        <w:autoSpaceDE w:val="0"/>
        <w:autoSpaceDN w:val="0"/>
        <w:spacing w:after="0" w:line="360" w:lineRule="auto"/>
        <w:rPr>
          <w:rFonts w:ascii="宋体" w:hAnsi="宋体" w:cs="宋体"/>
          <w:color w:val="auto"/>
          <w:sz w:val="21"/>
          <w:szCs w:val="21"/>
          <w:highlight w:val="none"/>
        </w:rPr>
      </w:pPr>
      <w:r>
        <w:rPr>
          <w:rFonts w:hint="eastAsia" w:ascii="宋体" w:hAnsi="宋体" w:cs="宋体"/>
          <w:color w:val="auto"/>
          <w:sz w:val="21"/>
          <w:szCs w:val="21"/>
          <w:highlight w:val="none"/>
        </w:rPr>
        <w:t>备注：货物的主要技术参数和技术指标可另页描述。</w:t>
      </w:r>
    </w:p>
    <w:p w14:paraId="6BB1FCE8">
      <w:pPr>
        <w:spacing w:after="0" w:line="240" w:lineRule="auto"/>
        <w:ind w:firstLine="420" w:firstLineChars="200"/>
        <w:rPr>
          <w:color w:val="auto"/>
          <w:sz w:val="21"/>
          <w:szCs w:val="21"/>
          <w:highlight w:val="none"/>
        </w:rPr>
      </w:pPr>
    </w:p>
    <w:p w14:paraId="344E0872">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w:t>
      </w:r>
      <w:r>
        <w:rPr>
          <w:rFonts w:ascii="宋体" w:hAnsi="宋体"/>
          <w:color w:val="auto"/>
          <w:kern w:val="0"/>
          <w:sz w:val="21"/>
          <w:szCs w:val="21"/>
          <w:highlight w:val="none"/>
        </w:rPr>
        <w:t>（全称并加盖公章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4C930D60">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olor w:val="auto"/>
          <w:kern w:val="0"/>
          <w:sz w:val="21"/>
          <w:szCs w:val="21"/>
          <w:highlight w:val="none"/>
        </w:rPr>
        <w:t>投标人代表（签字或盖章）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14:paraId="580ADC15">
      <w:pPr>
        <w:tabs>
          <w:tab w:val="left" w:pos="1230"/>
        </w:tabs>
        <w:topLinePunct/>
        <w:autoSpaceDE w:val="0"/>
        <w:autoSpaceDN w:val="0"/>
        <w:adjustRightInd w:val="0"/>
        <w:snapToGrid w:val="0"/>
        <w:spacing w:after="0"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347C2971">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eastAsia="黑体"/>
          <w:color w:val="auto"/>
          <w:sz w:val="28"/>
          <w:szCs w:val="28"/>
          <w:highlight w:val="none"/>
        </w:rPr>
      </w:pPr>
      <w:r>
        <w:rPr>
          <w:rFonts w:eastAsia="仿宋_GB2312"/>
          <w:color w:val="auto"/>
          <w:szCs w:val="21"/>
          <w:highlight w:val="none"/>
        </w:rPr>
        <w:br w:type="page"/>
      </w:r>
      <w:r>
        <w:rPr>
          <w:rFonts w:hint="eastAsia" w:ascii="宋体" w:hAnsi="宋体" w:cs="宋体"/>
          <w:b/>
          <w:bCs/>
          <w:color w:val="auto"/>
          <w:sz w:val="28"/>
          <w:szCs w:val="28"/>
          <w:highlight w:val="none"/>
        </w:rPr>
        <w:t>服务方案说明</w:t>
      </w:r>
    </w:p>
    <w:p w14:paraId="5D5D1D2E">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服务类项目供应商应根据第六章规定编写服务方案说明。服务方案说明包括但不限于：</w:t>
      </w:r>
    </w:p>
    <w:p w14:paraId="640E96B7">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(1)服务目标、范围和任务；</w:t>
      </w:r>
    </w:p>
    <w:p w14:paraId="4AD76CBE">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(2)服务方案；</w:t>
      </w:r>
    </w:p>
    <w:p w14:paraId="0713A225">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(3)服务团队组织安排计划；</w:t>
      </w:r>
    </w:p>
    <w:p w14:paraId="7687B608">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(4)工作流程；</w:t>
      </w:r>
    </w:p>
    <w:p w14:paraId="205ABB2E">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(5)进度计划及保证措施；</w:t>
      </w:r>
    </w:p>
    <w:p w14:paraId="0436176D">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(6)质量保证措施；</w:t>
      </w:r>
    </w:p>
    <w:p w14:paraId="794C3825">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(7)合理化建议；</w:t>
      </w:r>
    </w:p>
    <w:p w14:paraId="43CF41E1">
      <w:pPr>
        <w:spacing w:line="360" w:lineRule="auto"/>
        <w:ind w:firstLine="420" w:firstLineChars="200"/>
        <w:jc w:val="lef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(8)其他。</w:t>
      </w:r>
    </w:p>
    <w:p w14:paraId="25118E16">
      <w:pPr>
        <w:spacing w:after="0" w:line="240" w:lineRule="auto"/>
        <w:ind w:firstLine="420" w:firstLineChars="200"/>
        <w:rPr>
          <w:rFonts w:eastAsia="仿宋_GB2312"/>
          <w:color w:val="auto"/>
          <w:szCs w:val="21"/>
          <w:highlight w:val="none"/>
        </w:rPr>
      </w:pPr>
    </w:p>
    <w:p w14:paraId="457F1ECD">
      <w:pPr>
        <w:adjustRightInd w:val="0"/>
        <w:snapToGrid w:val="0"/>
        <w:spacing w:after="0" w:line="360" w:lineRule="auto"/>
        <w:ind w:firstLine="723"/>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实施方案</w:t>
      </w:r>
    </w:p>
    <w:p w14:paraId="20565FD7">
      <w:pPr>
        <w:spacing w:line="360" w:lineRule="auto"/>
        <w:ind w:firstLine="420" w:firstLineChars="200"/>
        <w:jc w:val="left"/>
        <w:rPr>
          <w:rFonts w:ascii="宋体" w:hAnsi="宋体"/>
          <w:color w:val="auto"/>
          <w:kern w:val="0"/>
          <w:sz w:val="21"/>
          <w:szCs w:val="21"/>
          <w:highlight w:val="none"/>
        </w:rPr>
      </w:pPr>
      <w:r>
        <w:rPr>
          <w:rFonts w:hint="eastAsia" w:ascii="宋体" w:hAnsi="宋体"/>
          <w:color w:val="auto"/>
          <w:kern w:val="0"/>
          <w:sz w:val="21"/>
          <w:szCs w:val="21"/>
          <w:highlight w:val="none"/>
        </w:rPr>
        <w:t>(示例略)</w:t>
      </w:r>
    </w:p>
    <w:p w14:paraId="6BE95F89">
      <w:pPr>
        <w:spacing w:after="0" w:line="240" w:lineRule="auto"/>
        <w:ind w:firstLine="420" w:firstLineChars="200"/>
        <w:rPr>
          <w:rFonts w:eastAsia="仿宋_GB2312"/>
          <w:color w:val="auto"/>
          <w:szCs w:val="21"/>
          <w:highlight w:val="none"/>
        </w:rPr>
      </w:pPr>
    </w:p>
    <w:p w14:paraId="30102CCC">
      <w:pPr>
        <w:adjustRightInd w:val="0"/>
        <w:snapToGrid w:val="0"/>
        <w:spacing w:after="0" w:line="360" w:lineRule="auto"/>
        <w:ind w:firstLine="723"/>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技术方案</w:t>
      </w:r>
    </w:p>
    <w:p w14:paraId="4AF80483">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w:t>
      </w:r>
      <w:r>
        <w:rPr>
          <w:rFonts w:hint="eastAsia" w:ascii="宋体" w:hAnsi="宋体"/>
          <w:color w:val="auto"/>
          <w:kern w:val="0"/>
          <w:sz w:val="21"/>
          <w:szCs w:val="21"/>
          <w:highlight w:val="none"/>
        </w:rPr>
        <w:t>示例略</w:t>
      </w:r>
      <w:r>
        <w:rPr>
          <w:rFonts w:ascii="宋体" w:hAnsi="宋体"/>
          <w:color w:val="auto"/>
          <w:kern w:val="0"/>
          <w:sz w:val="21"/>
          <w:szCs w:val="21"/>
          <w:highlight w:val="none"/>
        </w:rPr>
        <w:t>)</w:t>
      </w:r>
    </w:p>
    <w:p w14:paraId="6AE5DC4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color w:val="auto"/>
          <w:sz w:val="28"/>
          <w:szCs w:val="28"/>
          <w:highlight w:val="none"/>
        </w:rPr>
      </w:pPr>
      <w:r>
        <w:rPr>
          <w:rFonts w:ascii="宋体" w:hAnsi="宋体"/>
          <w:color w:val="auto"/>
          <w:kern w:val="0"/>
          <w:sz w:val="24"/>
          <w:highlight w:val="none"/>
        </w:rPr>
        <w:br w:type="page"/>
      </w:r>
      <w:r>
        <w:rPr>
          <w:rFonts w:hint="eastAsia" w:ascii="宋体" w:hAnsi="宋体" w:cs="宋体"/>
          <w:b/>
          <w:bCs/>
          <w:color w:val="auto"/>
          <w:sz w:val="28"/>
          <w:szCs w:val="28"/>
          <w:highlight w:val="none"/>
        </w:rPr>
        <w:t>格式</w:t>
      </w:r>
      <w:bookmarkStart w:id="52" w:name="_Toc231801039"/>
      <w:r>
        <w:rPr>
          <w:rFonts w:hint="default" w:ascii="Times New Roman" w:hAnsi="Times New Roman" w:eastAsia="方正小标宋简体" w:cs="Times New Roman"/>
          <w:b/>
          <w:bCs/>
          <w:color w:val="auto"/>
          <w:sz w:val="28"/>
          <w:szCs w:val="28"/>
          <w:highlight w:val="none"/>
        </w:rPr>
        <w:t>11</w:t>
      </w:r>
      <w:r>
        <w:rPr>
          <w:rFonts w:hint="eastAsia" w:ascii="宋体" w:hAnsi="宋体" w:cs="宋体"/>
          <w:b/>
          <w:bCs/>
          <w:color w:val="auto"/>
          <w:sz w:val="28"/>
          <w:szCs w:val="28"/>
          <w:highlight w:val="none"/>
        </w:rPr>
        <w:t xml:space="preserve"> 技术力量一览表</w:t>
      </w:r>
    </w:p>
    <w:tbl>
      <w:tblPr>
        <w:tblStyle w:val="15"/>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14:paraId="0F77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081229C3">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3192308B">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273014B8">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21A888D7">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3979716A">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7CB8F1D4">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本项目中担任职务</w:t>
            </w:r>
          </w:p>
        </w:tc>
        <w:tc>
          <w:tcPr>
            <w:tcW w:w="1916" w:type="dxa"/>
            <w:tcBorders>
              <w:top w:val="single" w:color="auto" w:sz="4" w:space="0"/>
              <w:left w:val="single" w:color="auto" w:sz="4" w:space="0"/>
              <w:bottom w:val="single" w:color="auto" w:sz="4" w:space="0"/>
              <w:right w:val="single" w:color="auto" w:sz="4" w:space="0"/>
            </w:tcBorders>
            <w:noWrap/>
            <w:vAlign w:val="center"/>
          </w:tcPr>
          <w:p w14:paraId="7DCBD9EF">
            <w:pPr>
              <w:adjustRightInd w:val="0"/>
              <w:spacing w:after="0" w:line="240" w:lineRule="auto"/>
              <w:jc w:val="center"/>
              <w:rPr>
                <w:rFonts w:hint="default" w:ascii="Times New Roman" w:hAnsi="Times New Roman" w:cs="Times New Roman"/>
                <w:b/>
                <w:color w:val="auto"/>
                <w:sz w:val="21"/>
                <w:szCs w:val="21"/>
                <w:highlight w:val="none"/>
              </w:rPr>
            </w:pPr>
            <w:r>
              <w:rPr>
                <w:rFonts w:hint="default" w:ascii="Times New Roman" w:hAnsi="Times New Roman" w:cs="Times New Roman"/>
                <w:b/>
                <w:color w:val="auto"/>
                <w:sz w:val="21"/>
                <w:szCs w:val="21"/>
                <w:highlight w:val="none"/>
              </w:rPr>
              <w:t>认证情况</w:t>
            </w:r>
          </w:p>
        </w:tc>
      </w:tr>
      <w:tr w14:paraId="465C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48C64313">
            <w:pPr>
              <w:numPr>
                <w:ilvl w:val="0"/>
                <w:numId w:val="0"/>
              </w:numPr>
              <w:adjustRightInd w:val="0"/>
              <w:spacing w:after="0" w:line="240" w:lineRule="auto"/>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项目管理人员</w:t>
            </w:r>
          </w:p>
          <w:p w14:paraId="4136DC2A">
            <w:pPr>
              <w:adjustRightInd w:val="0"/>
              <w:spacing w:after="0" w:line="240" w:lineRule="auto"/>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（一）项目负责人</w:t>
            </w:r>
          </w:p>
        </w:tc>
      </w:tr>
      <w:tr w14:paraId="4813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3A12CC14">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20FD0F0D">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87BDB14">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D40A4A4">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36015D0">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E6729DD">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532C4FD9">
            <w:pPr>
              <w:adjustRightInd w:val="0"/>
              <w:spacing w:after="0" w:line="240" w:lineRule="auto"/>
              <w:jc w:val="center"/>
              <w:rPr>
                <w:rFonts w:hint="default" w:ascii="Times New Roman" w:hAnsi="Times New Roman" w:cs="Times New Roman"/>
                <w:color w:val="auto"/>
                <w:sz w:val="21"/>
                <w:szCs w:val="21"/>
                <w:highlight w:val="none"/>
              </w:rPr>
            </w:pPr>
          </w:p>
        </w:tc>
      </w:tr>
      <w:tr w14:paraId="6316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CCE5850">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39A7049B">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B684DEE">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740F982">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DD3C50D">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C0F5832">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7549CA14">
            <w:pPr>
              <w:adjustRightInd w:val="0"/>
              <w:spacing w:after="0" w:line="240" w:lineRule="auto"/>
              <w:jc w:val="center"/>
              <w:rPr>
                <w:rFonts w:hint="default" w:ascii="Times New Roman" w:hAnsi="Times New Roman" w:cs="Times New Roman"/>
                <w:color w:val="auto"/>
                <w:sz w:val="21"/>
                <w:szCs w:val="21"/>
                <w:highlight w:val="none"/>
              </w:rPr>
            </w:pPr>
          </w:p>
        </w:tc>
      </w:tr>
      <w:tr w14:paraId="22EF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46575EF">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08E378B0">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681ACF6">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F826B68">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727B57D5">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E88C1F7">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7FB54CD">
            <w:pPr>
              <w:adjustRightInd w:val="0"/>
              <w:spacing w:after="0" w:line="240" w:lineRule="auto"/>
              <w:jc w:val="center"/>
              <w:rPr>
                <w:rFonts w:hint="default" w:ascii="Times New Roman" w:hAnsi="Times New Roman" w:cs="Times New Roman"/>
                <w:color w:val="auto"/>
                <w:sz w:val="21"/>
                <w:szCs w:val="21"/>
                <w:highlight w:val="none"/>
              </w:rPr>
            </w:pPr>
          </w:p>
        </w:tc>
      </w:tr>
      <w:tr w14:paraId="6D0F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1E240F40">
            <w:pPr>
              <w:adjustRightInd w:val="0"/>
              <w:spacing w:after="0" w:line="240" w:lineRule="auto"/>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（二）技术负责人</w:t>
            </w:r>
          </w:p>
        </w:tc>
      </w:tr>
      <w:tr w14:paraId="3CF1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53FC94D">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3DA1CC24">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93E343C">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62C4DA0">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E78FE99">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6561D5F">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C39A907">
            <w:pPr>
              <w:adjustRightInd w:val="0"/>
              <w:spacing w:after="0" w:line="240" w:lineRule="auto"/>
              <w:jc w:val="center"/>
              <w:rPr>
                <w:rFonts w:hint="default" w:ascii="Times New Roman" w:hAnsi="Times New Roman" w:cs="Times New Roman"/>
                <w:color w:val="auto"/>
                <w:sz w:val="21"/>
                <w:szCs w:val="21"/>
                <w:highlight w:val="none"/>
              </w:rPr>
            </w:pPr>
          </w:p>
        </w:tc>
      </w:tr>
      <w:tr w14:paraId="507D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F78FE9D">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7331527A">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E7DEEDA">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1EDBC931">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DE9A734">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E4D7776">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4420C118">
            <w:pPr>
              <w:adjustRightInd w:val="0"/>
              <w:spacing w:after="0" w:line="240" w:lineRule="auto"/>
              <w:jc w:val="center"/>
              <w:rPr>
                <w:rFonts w:hint="default" w:ascii="Times New Roman" w:hAnsi="Times New Roman" w:cs="Times New Roman"/>
                <w:color w:val="auto"/>
                <w:sz w:val="21"/>
                <w:szCs w:val="21"/>
                <w:highlight w:val="none"/>
              </w:rPr>
            </w:pPr>
          </w:p>
        </w:tc>
      </w:tr>
      <w:tr w14:paraId="5E1E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764411B">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5C0AA032">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51B1100E">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9D2C291">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A5E202E">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5B59D043">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430F284D">
            <w:pPr>
              <w:adjustRightInd w:val="0"/>
              <w:spacing w:after="0" w:line="240" w:lineRule="auto"/>
              <w:jc w:val="center"/>
              <w:rPr>
                <w:rFonts w:hint="default" w:ascii="Times New Roman" w:hAnsi="Times New Roman" w:cs="Times New Roman"/>
                <w:color w:val="auto"/>
                <w:sz w:val="21"/>
                <w:szCs w:val="21"/>
                <w:highlight w:val="none"/>
              </w:rPr>
            </w:pPr>
          </w:p>
        </w:tc>
      </w:tr>
      <w:tr w14:paraId="76F3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06B092F6">
            <w:pPr>
              <w:adjustRightInd w:val="0"/>
              <w:spacing w:after="0" w:line="240" w:lineRule="auto"/>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二、XX人员</w:t>
            </w:r>
          </w:p>
        </w:tc>
      </w:tr>
      <w:tr w14:paraId="2969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603BE68">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5701EFB8">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AC32692">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301757F">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4226A588">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47D8B9B">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0440FFC8">
            <w:pPr>
              <w:adjustRightInd w:val="0"/>
              <w:spacing w:after="0" w:line="240" w:lineRule="auto"/>
              <w:jc w:val="center"/>
              <w:rPr>
                <w:rFonts w:hint="default" w:ascii="Times New Roman" w:hAnsi="Times New Roman" w:cs="Times New Roman"/>
                <w:color w:val="auto"/>
                <w:sz w:val="21"/>
                <w:szCs w:val="21"/>
                <w:highlight w:val="none"/>
              </w:rPr>
            </w:pPr>
          </w:p>
        </w:tc>
      </w:tr>
      <w:tr w14:paraId="5BB9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C8DE463">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42BE187E">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AC3D29B">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9A7F6E5">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B2237AA">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6E0AA90">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15F03F4">
            <w:pPr>
              <w:adjustRightInd w:val="0"/>
              <w:spacing w:after="0" w:line="240" w:lineRule="auto"/>
              <w:jc w:val="center"/>
              <w:rPr>
                <w:rFonts w:hint="default" w:ascii="Times New Roman" w:hAnsi="Times New Roman" w:cs="Times New Roman"/>
                <w:color w:val="auto"/>
                <w:sz w:val="21"/>
                <w:szCs w:val="21"/>
                <w:highlight w:val="none"/>
              </w:rPr>
            </w:pPr>
          </w:p>
        </w:tc>
      </w:tr>
      <w:tr w14:paraId="0EFF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F1E42E7">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18698077">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1CDB9409">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62F3F81">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550181F3">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CD1E97C">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AA81237">
            <w:pPr>
              <w:adjustRightInd w:val="0"/>
              <w:spacing w:after="0" w:line="240" w:lineRule="auto"/>
              <w:jc w:val="center"/>
              <w:rPr>
                <w:rFonts w:hint="default" w:ascii="Times New Roman" w:hAnsi="Times New Roman" w:cs="Times New Roman"/>
                <w:color w:val="auto"/>
                <w:sz w:val="21"/>
                <w:szCs w:val="21"/>
                <w:highlight w:val="none"/>
              </w:rPr>
            </w:pPr>
          </w:p>
        </w:tc>
      </w:tr>
      <w:tr w14:paraId="58A3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796715A0">
            <w:pPr>
              <w:adjustRightInd w:val="0"/>
              <w:spacing w:after="0" w:line="240" w:lineRule="auto"/>
              <w:jc w:val="left"/>
              <w:rPr>
                <w:rFonts w:hint="default" w:ascii="Times New Roman" w:hAnsi="Times New Roman" w:cs="Times New Roman"/>
                <w:b w:val="0"/>
                <w:bCs w:val="0"/>
                <w:color w:val="auto"/>
                <w:sz w:val="21"/>
                <w:szCs w:val="21"/>
                <w:highlight w:val="none"/>
              </w:rPr>
            </w:pPr>
            <w:r>
              <w:rPr>
                <w:rFonts w:hint="default" w:ascii="Times New Roman" w:hAnsi="Times New Roman" w:cs="Times New Roman"/>
                <w:b w:val="0"/>
                <w:bCs w:val="0"/>
                <w:color w:val="auto"/>
                <w:sz w:val="21"/>
                <w:szCs w:val="21"/>
                <w:highlight w:val="none"/>
              </w:rPr>
              <w:t>三、XX人员</w:t>
            </w:r>
          </w:p>
        </w:tc>
      </w:tr>
      <w:tr w14:paraId="61EE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07B09D9E">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356" w:type="dxa"/>
            <w:noWrap w:val="0"/>
            <w:vAlign w:val="center"/>
          </w:tcPr>
          <w:p w14:paraId="73F7E399">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noWrap w:val="0"/>
            <w:vAlign w:val="center"/>
          </w:tcPr>
          <w:p w14:paraId="5F102B2E">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noWrap w:val="0"/>
            <w:vAlign w:val="center"/>
          </w:tcPr>
          <w:p w14:paraId="23C52AA1">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noWrap w:val="0"/>
            <w:vAlign w:val="center"/>
          </w:tcPr>
          <w:p w14:paraId="767BAF04">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noWrap w:val="0"/>
            <w:vAlign w:val="center"/>
          </w:tcPr>
          <w:p w14:paraId="4415F5E2">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noWrap w:val="0"/>
            <w:vAlign w:val="center"/>
          </w:tcPr>
          <w:p w14:paraId="172E1874">
            <w:pPr>
              <w:adjustRightInd w:val="0"/>
              <w:spacing w:after="0" w:line="240" w:lineRule="auto"/>
              <w:jc w:val="center"/>
              <w:rPr>
                <w:rFonts w:hint="default" w:ascii="Times New Roman" w:hAnsi="Times New Roman" w:cs="Times New Roman"/>
                <w:color w:val="auto"/>
                <w:sz w:val="21"/>
                <w:szCs w:val="21"/>
                <w:highlight w:val="none"/>
              </w:rPr>
            </w:pPr>
          </w:p>
        </w:tc>
      </w:tr>
      <w:tr w14:paraId="2FFC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03B0EFEC">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356" w:type="dxa"/>
            <w:noWrap w:val="0"/>
            <w:vAlign w:val="center"/>
          </w:tcPr>
          <w:p w14:paraId="478E2609">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noWrap w:val="0"/>
            <w:vAlign w:val="center"/>
          </w:tcPr>
          <w:p w14:paraId="7CBA9D07">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noWrap w:val="0"/>
            <w:vAlign w:val="center"/>
          </w:tcPr>
          <w:p w14:paraId="66E7E5D1">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noWrap w:val="0"/>
            <w:vAlign w:val="center"/>
          </w:tcPr>
          <w:p w14:paraId="6A03122D">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noWrap w:val="0"/>
            <w:vAlign w:val="center"/>
          </w:tcPr>
          <w:p w14:paraId="5F1E6915">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noWrap w:val="0"/>
            <w:vAlign w:val="center"/>
          </w:tcPr>
          <w:p w14:paraId="744BFAB1">
            <w:pPr>
              <w:adjustRightInd w:val="0"/>
              <w:spacing w:after="0" w:line="240" w:lineRule="auto"/>
              <w:jc w:val="center"/>
              <w:rPr>
                <w:rFonts w:hint="default" w:ascii="Times New Roman" w:hAnsi="Times New Roman" w:cs="Times New Roman"/>
                <w:color w:val="auto"/>
                <w:sz w:val="21"/>
                <w:szCs w:val="21"/>
                <w:highlight w:val="none"/>
              </w:rPr>
            </w:pPr>
          </w:p>
        </w:tc>
      </w:tr>
      <w:tr w14:paraId="0D09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6FD58D18">
            <w:pPr>
              <w:adjustRightInd w:val="0"/>
              <w:spacing w:after="0" w:line="24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w:t>
            </w:r>
          </w:p>
        </w:tc>
        <w:tc>
          <w:tcPr>
            <w:tcW w:w="1356" w:type="dxa"/>
            <w:noWrap w:val="0"/>
            <w:vAlign w:val="center"/>
          </w:tcPr>
          <w:p w14:paraId="209AF83F">
            <w:pPr>
              <w:adjustRightInd w:val="0"/>
              <w:spacing w:after="0" w:line="240" w:lineRule="auto"/>
              <w:jc w:val="center"/>
              <w:rPr>
                <w:rFonts w:hint="default" w:ascii="Times New Roman" w:hAnsi="Times New Roman" w:cs="Times New Roman"/>
                <w:color w:val="auto"/>
                <w:sz w:val="21"/>
                <w:szCs w:val="21"/>
                <w:highlight w:val="none"/>
              </w:rPr>
            </w:pPr>
          </w:p>
        </w:tc>
        <w:tc>
          <w:tcPr>
            <w:tcW w:w="1187" w:type="dxa"/>
            <w:noWrap w:val="0"/>
            <w:vAlign w:val="center"/>
          </w:tcPr>
          <w:p w14:paraId="11FFC552">
            <w:pPr>
              <w:adjustRightInd w:val="0"/>
              <w:spacing w:after="0" w:line="240" w:lineRule="auto"/>
              <w:jc w:val="center"/>
              <w:rPr>
                <w:rFonts w:hint="default" w:ascii="Times New Roman" w:hAnsi="Times New Roman" w:cs="Times New Roman"/>
                <w:color w:val="auto"/>
                <w:sz w:val="21"/>
                <w:szCs w:val="21"/>
                <w:highlight w:val="none"/>
              </w:rPr>
            </w:pPr>
          </w:p>
        </w:tc>
        <w:tc>
          <w:tcPr>
            <w:tcW w:w="1189" w:type="dxa"/>
            <w:noWrap w:val="0"/>
            <w:vAlign w:val="center"/>
          </w:tcPr>
          <w:p w14:paraId="1E9B171A">
            <w:pPr>
              <w:adjustRightInd w:val="0"/>
              <w:spacing w:after="0" w:line="240" w:lineRule="auto"/>
              <w:jc w:val="center"/>
              <w:rPr>
                <w:rFonts w:hint="default" w:ascii="Times New Roman" w:hAnsi="Times New Roman" w:cs="Times New Roman"/>
                <w:color w:val="auto"/>
                <w:sz w:val="21"/>
                <w:szCs w:val="21"/>
                <w:highlight w:val="none"/>
              </w:rPr>
            </w:pPr>
          </w:p>
        </w:tc>
        <w:tc>
          <w:tcPr>
            <w:tcW w:w="1275" w:type="dxa"/>
            <w:noWrap w:val="0"/>
            <w:vAlign w:val="center"/>
          </w:tcPr>
          <w:p w14:paraId="79FA0D8D">
            <w:pPr>
              <w:adjustRightInd w:val="0"/>
              <w:spacing w:after="0" w:line="240" w:lineRule="auto"/>
              <w:jc w:val="center"/>
              <w:rPr>
                <w:rFonts w:hint="default" w:ascii="Times New Roman" w:hAnsi="Times New Roman" w:cs="Times New Roman"/>
                <w:color w:val="auto"/>
                <w:sz w:val="21"/>
                <w:szCs w:val="21"/>
                <w:highlight w:val="none"/>
              </w:rPr>
            </w:pPr>
          </w:p>
        </w:tc>
        <w:tc>
          <w:tcPr>
            <w:tcW w:w="1243" w:type="dxa"/>
            <w:noWrap w:val="0"/>
            <w:vAlign w:val="center"/>
          </w:tcPr>
          <w:p w14:paraId="6A9340DA">
            <w:pPr>
              <w:adjustRightInd w:val="0"/>
              <w:spacing w:after="0" w:line="240" w:lineRule="auto"/>
              <w:jc w:val="center"/>
              <w:rPr>
                <w:rFonts w:hint="default" w:ascii="Times New Roman" w:hAnsi="Times New Roman" w:cs="Times New Roman"/>
                <w:color w:val="auto"/>
                <w:sz w:val="21"/>
                <w:szCs w:val="21"/>
                <w:highlight w:val="none"/>
              </w:rPr>
            </w:pPr>
          </w:p>
        </w:tc>
        <w:tc>
          <w:tcPr>
            <w:tcW w:w="1916" w:type="dxa"/>
            <w:noWrap w:val="0"/>
            <w:vAlign w:val="center"/>
          </w:tcPr>
          <w:p w14:paraId="2301C0AD">
            <w:pPr>
              <w:adjustRightInd w:val="0"/>
              <w:spacing w:after="0" w:line="240" w:lineRule="auto"/>
              <w:jc w:val="center"/>
              <w:rPr>
                <w:rFonts w:hint="default" w:ascii="Times New Roman" w:hAnsi="Times New Roman" w:cs="Times New Roman"/>
                <w:color w:val="auto"/>
                <w:sz w:val="21"/>
                <w:szCs w:val="21"/>
                <w:highlight w:val="none"/>
              </w:rPr>
            </w:pPr>
          </w:p>
        </w:tc>
      </w:tr>
      <w:bookmarkEnd w:id="52"/>
    </w:tbl>
    <w:p w14:paraId="335FC5CB">
      <w:pPr>
        <w:topLinePunct/>
        <w:autoSpaceDE w:val="0"/>
        <w:autoSpaceDN w:val="0"/>
        <w:spacing w:after="0" w:line="360" w:lineRule="auto"/>
        <w:rPr>
          <w:rFonts w:ascii="宋体" w:hAnsi="宋体" w:cs="宋体"/>
          <w:color w:val="auto"/>
          <w:szCs w:val="21"/>
          <w:highlight w:val="none"/>
        </w:rPr>
      </w:pPr>
      <w:r>
        <w:rPr>
          <w:rFonts w:ascii="宋体" w:hAnsi="宋体" w:cs="宋体"/>
          <w:color w:val="auto"/>
          <w:szCs w:val="21"/>
          <w:highlight w:val="none"/>
        </w:rPr>
        <w:t>特别说明：</w:t>
      </w:r>
    </w:p>
    <w:p w14:paraId="144797A1">
      <w:pPr>
        <w:topLinePunct/>
        <w:autoSpaceDE w:val="0"/>
        <w:autoSpaceDN w:val="0"/>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投标人须按照上述格式填写投入本项目所有人员的相关信息。</w:t>
      </w:r>
    </w:p>
    <w:p w14:paraId="30BC02BA">
      <w:pPr>
        <w:topLinePunct/>
        <w:autoSpaceDE w:val="0"/>
        <w:autoSpaceDN w:val="0"/>
        <w:spacing w:line="460" w:lineRule="exact"/>
        <w:rPr>
          <w:rFonts w:ascii="宋体" w:hAnsi="宋体" w:cs="宋体"/>
          <w:bCs/>
          <w:color w:val="auto"/>
          <w:w w:val="150"/>
          <w:sz w:val="24"/>
          <w:highlight w:val="none"/>
          <w:shd w:val="clear" w:color="auto" w:fill="FFFF00"/>
        </w:rPr>
      </w:pPr>
    </w:p>
    <w:p w14:paraId="0130FADF">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ascii="宋体" w:hAnsi="宋体" w:cs="宋体"/>
          <w:b/>
          <w:bCs/>
          <w:color w:val="auto"/>
          <w:sz w:val="28"/>
          <w:szCs w:val="28"/>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8"/>
          <w:szCs w:val="28"/>
          <w:highlight w:val="none"/>
        </w:rPr>
        <w:t>格式12 技术人员简历表</w:t>
      </w:r>
    </w:p>
    <w:tbl>
      <w:tblPr>
        <w:tblStyle w:val="1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23D1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44DBAE9">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040C6689">
            <w:pPr>
              <w:adjustRightInd w:val="0"/>
              <w:spacing w:after="0" w:line="240" w:lineRule="auto"/>
              <w:jc w:val="center"/>
              <w:rPr>
                <w:rFonts w:ascii="宋体" w:hAnsi="宋体" w:cs="宋体"/>
                <w:color w:val="auto"/>
                <w:sz w:val="21"/>
                <w:szCs w:val="21"/>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FC2E5F2">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6E3B66F">
            <w:pPr>
              <w:adjustRightInd w:val="0"/>
              <w:spacing w:after="0" w:line="240" w:lineRule="auto"/>
              <w:jc w:val="center"/>
              <w:rPr>
                <w:rFonts w:ascii="宋体" w:hAnsi="宋体" w:cs="宋体"/>
                <w:color w:val="auto"/>
                <w:sz w:val="21"/>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2DBC33A">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197B9D1">
            <w:pPr>
              <w:adjustRightInd w:val="0"/>
              <w:spacing w:after="0" w:line="240" w:lineRule="auto"/>
              <w:jc w:val="center"/>
              <w:rPr>
                <w:rFonts w:ascii="宋体" w:hAnsi="宋体" w:cs="宋体"/>
                <w:color w:val="auto"/>
                <w:sz w:val="21"/>
                <w:szCs w:val="21"/>
                <w:highlight w:val="none"/>
              </w:rPr>
            </w:pPr>
          </w:p>
        </w:tc>
      </w:tr>
      <w:tr w14:paraId="4CA5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51E76180">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DF82B7E">
            <w:pPr>
              <w:adjustRightInd w:val="0"/>
              <w:spacing w:after="0" w:line="240" w:lineRule="auto"/>
              <w:jc w:val="center"/>
              <w:rPr>
                <w:rFonts w:ascii="宋体" w:hAnsi="宋体" w:cs="宋体"/>
                <w:color w:val="auto"/>
                <w:sz w:val="21"/>
                <w:szCs w:val="21"/>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536177C5">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7C4139E">
            <w:pPr>
              <w:adjustRightInd w:val="0"/>
              <w:spacing w:after="0" w:line="240" w:lineRule="auto"/>
              <w:jc w:val="center"/>
              <w:rPr>
                <w:rFonts w:ascii="宋体" w:hAnsi="宋体" w:cs="宋体"/>
                <w:color w:val="auto"/>
                <w:sz w:val="21"/>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31F2C4A0">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64A556FD">
            <w:pPr>
              <w:adjustRightInd w:val="0"/>
              <w:spacing w:after="0" w:line="240" w:lineRule="auto"/>
              <w:jc w:val="center"/>
              <w:rPr>
                <w:rFonts w:ascii="宋体" w:hAnsi="宋体" w:cs="宋体"/>
                <w:color w:val="auto"/>
                <w:sz w:val="21"/>
                <w:szCs w:val="21"/>
                <w:highlight w:val="none"/>
              </w:rPr>
            </w:pPr>
          </w:p>
        </w:tc>
      </w:tr>
      <w:tr w14:paraId="6A63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4DD70C8">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580B6453">
            <w:pPr>
              <w:adjustRightInd w:val="0"/>
              <w:spacing w:after="0" w:line="240" w:lineRule="auto"/>
              <w:jc w:val="center"/>
              <w:rPr>
                <w:rFonts w:ascii="宋体" w:hAnsi="宋体" w:cs="宋体"/>
                <w:color w:val="auto"/>
                <w:sz w:val="21"/>
                <w:szCs w:val="21"/>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824E1F7">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07CFB87">
            <w:pPr>
              <w:adjustRightInd w:val="0"/>
              <w:spacing w:after="0" w:line="240" w:lineRule="auto"/>
              <w:jc w:val="center"/>
              <w:rPr>
                <w:rFonts w:ascii="宋体" w:hAnsi="宋体" w:cs="宋体"/>
                <w:color w:val="auto"/>
                <w:sz w:val="21"/>
                <w:szCs w:val="21"/>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6DBF5431">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02F9B96">
            <w:pPr>
              <w:adjustRightInd w:val="0"/>
              <w:spacing w:after="0" w:line="240" w:lineRule="auto"/>
              <w:jc w:val="center"/>
              <w:rPr>
                <w:rFonts w:ascii="宋体" w:hAnsi="宋体" w:cs="宋体"/>
                <w:color w:val="auto"/>
                <w:sz w:val="21"/>
                <w:szCs w:val="21"/>
                <w:highlight w:val="none"/>
              </w:rPr>
            </w:pPr>
          </w:p>
        </w:tc>
      </w:tr>
      <w:tr w14:paraId="178A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16451E5A">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472114C1">
            <w:pPr>
              <w:adjustRightInd w:val="0"/>
              <w:spacing w:after="0" w:line="240" w:lineRule="auto"/>
              <w:jc w:val="center"/>
              <w:rPr>
                <w:rFonts w:ascii="宋体" w:hAnsi="宋体" w:cs="宋体"/>
                <w:color w:val="auto"/>
                <w:sz w:val="21"/>
                <w:szCs w:val="21"/>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CC4C93F">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3DE704D4">
            <w:pPr>
              <w:adjustRightInd w:val="0"/>
              <w:spacing w:after="0" w:line="240" w:lineRule="auto"/>
              <w:jc w:val="center"/>
              <w:rPr>
                <w:rFonts w:ascii="宋体" w:hAnsi="宋体" w:cs="宋体"/>
                <w:color w:val="auto"/>
                <w:sz w:val="21"/>
                <w:szCs w:val="21"/>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0D228F9">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443653CF">
            <w:pPr>
              <w:adjustRightInd w:val="0"/>
              <w:spacing w:after="0" w:line="240" w:lineRule="auto"/>
              <w:jc w:val="center"/>
              <w:rPr>
                <w:rFonts w:ascii="宋体" w:hAnsi="宋体" w:cs="宋体"/>
                <w:color w:val="auto"/>
                <w:sz w:val="21"/>
                <w:szCs w:val="21"/>
                <w:highlight w:val="none"/>
              </w:rPr>
            </w:pPr>
          </w:p>
        </w:tc>
      </w:tr>
      <w:tr w14:paraId="6EEB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7AC4EE96">
            <w:pPr>
              <w:adjustRightInd w:val="0"/>
              <w:spacing w:after="0"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14:paraId="3516F9FA">
            <w:pPr>
              <w:adjustRightInd w:val="0"/>
              <w:spacing w:after="0" w:line="240" w:lineRule="auto"/>
              <w:jc w:val="center"/>
              <w:rPr>
                <w:rFonts w:ascii="宋体" w:hAnsi="宋体" w:cs="宋体"/>
                <w:color w:val="auto"/>
                <w:sz w:val="21"/>
                <w:szCs w:val="21"/>
                <w:highlight w:val="none"/>
              </w:rPr>
            </w:pPr>
          </w:p>
        </w:tc>
      </w:tr>
      <w:tr w14:paraId="42CC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14:paraId="1FAE084C">
            <w:pPr>
              <w:spacing w:after="0" w:line="240" w:lineRule="auto"/>
              <w:rPr>
                <w:rFonts w:ascii="宋体" w:hAnsi="宋体" w:cs="宋体"/>
                <w:color w:val="auto"/>
                <w:sz w:val="21"/>
                <w:szCs w:val="21"/>
                <w:highlight w:val="none"/>
              </w:rPr>
            </w:pPr>
            <w:r>
              <w:rPr>
                <w:rFonts w:hint="eastAsia" w:ascii="宋体" w:hAnsi="宋体" w:cs="宋体"/>
                <w:color w:val="auto"/>
                <w:sz w:val="21"/>
                <w:szCs w:val="21"/>
                <w:highlight w:val="none"/>
              </w:rPr>
              <w:t>工作简历及主要业绩</w:t>
            </w:r>
          </w:p>
          <w:p w14:paraId="27F59636">
            <w:pPr>
              <w:adjustRightInd w:val="0"/>
              <w:spacing w:after="0" w:line="240" w:lineRule="auto"/>
              <w:rPr>
                <w:rFonts w:ascii="宋体" w:hAnsi="宋体" w:cs="宋体"/>
                <w:color w:val="auto"/>
                <w:sz w:val="21"/>
                <w:szCs w:val="21"/>
                <w:highlight w:val="none"/>
              </w:rPr>
            </w:pPr>
          </w:p>
        </w:tc>
      </w:tr>
    </w:tbl>
    <w:p w14:paraId="552ED4A3">
      <w:pPr>
        <w:topLinePunct/>
        <w:autoSpaceDE w:val="0"/>
        <w:autoSpaceDN w:val="0"/>
        <w:spacing w:after="0"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特别说明：</w:t>
      </w:r>
    </w:p>
    <w:p w14:paraId="05365600">
      <w:pPr>
        <w:topLinePunct/>
        <w:autoSpaceDE w:val="0"/>
        <w:autoSpaceDN w:val="0"/>
        <w:spacing w:after="0"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1.投标人应提供投入本项目所有人员的简历。</w:t>
      </w:r>
    </w:p>
    <w:p w14:paraId="3F5C5C97">
      <w:pPr>
        <w:topLinePunct/>
        <w:autoSpaceDE w:val="0"/>
        <w:autoSpaceDN w:val="0"/>
        <w:spacing w:after="0"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等人员应提供</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复印件。 </w:t>
      </w:r>
    </w:p>
    <w:p w14:paraId="3D0D0999">
      <w:pPr>
        <w:widowControl/>
        <w:spacing w:after="0" w:line="240" w:lineRule="auto"/>
        <w:jc w:val="left"/>
        <w:rPr>
          <w:color w:val="auto"/>
          <w:highlight w:val="none"/>
        </w:rPr>
      </w:pPr>
    </w:p>
    <w:p w14:paraId="723D072E">
      <w:pPr>
        <w:widowControl/>
        <w:spacing w:after="0" w:line="240" w:lineRule="auto"/>
        <w:jc w:val="center"/>
        <w:rPr>
          <w:b/>
          <w:bCs/>
          <w:color w:val="auto"/>
          <w:sz w:val="36"/>
          <w:szCs w:val="36"/>
          <w:highlight w:val="none"/>
        </w:rPr>
      </w:pPr>
      <w:r>
        <w:rPr>
          <w:rFonts w:ascii="宋体" w:hAnsi="宋体" w:eastAsia="宋体"/>
          <w:b/>
          <w:bCs/>
          <w:color w:val="auto"/>
          <w:sz w:val="36"/>
          <w:szCs w:val="36"/>
          <w:highlight w:val="none"/>
        </w:rPr>
        <w:br w:type="page"/>
      </w:r>
      <w:r>
        <w:rPr>
          <w:rFonts w:hint="eastAsia" w:ascii="宋体" w:hAnsi="宋体" w:eastAsia="宋体"/>
          <w:b/>
          <w:bCs/>
          <w:color w:val="auto"/>
          <w:sz w:val="28"/>
          <w:szCs w:val="28"/>
          <w:highlight w:val="none"/>
        </w:rPr>
        <w:t>格式13 投标人售后服务承诺</w:t>
      </w:r>
    </w:p>
    <w:p w14:paraId="5471CFE5">
      <w:pPr>
        <w:spacing w:after="0" w:line="240" w:lineRule="auto"/>
        <w:ind w:firstLine="420" w:firstLineChars="200"/>
        <w:rPr>
          <w:color w:val="auto"/>
          <w:szCs w:val="21"/>
          <w:highlight w:val="none"/>
        </w:rPr>
      </w:pPr>
    </w:p>
    <w:p w14:paraId="07347E72">
      <w:pPr>
        <w:spacing w:line="360" w:lineRule="auto"/>
        <w:ind w:firstLine="420" w:firstLineChars="200"/>
        <w:jc w:val="left"/>
        <w:rPr>
          <w:rFonts w:ascii="宋体" w:hAnsi="宋体"/>
          <w:color w:val="auto"/>
          <w:kern w:val="0"/>
          <w:sz w:val="21"/>
          <w:szCs w:val="21"/>
          <w:highlight w:val="none"/>
        </w:rPr>
      </w:pPr>
      <w:r>
        <w:rPr>
          <w:rFonts w:ascii="宋体" w:hAnsi="宋体"/>
          <w:color w:val="auto"/>
          <w:kern w:val="0"/>
          <w:sz w:val="21"/>
          <w:szCs w:val="21"/>
          <w:highlight w:val="none"/>
        </w:rPr>
        <w:t>(示例略)</w:t>
      </w:r>
    </w:p>
    <w:p w14:paraId="714DA4BC">
      <w:pPr>
        <w:rPr>
          <w:color w:val="auto"/>
          <w:sz w:val="21"/>
          <w:szCs w:val="21"/>
          <w:highlight w:val="none"/>
        </w:rPr>
        <w:sectPr>
          <w:pgSz w:w="11906" w:h="16838"/>
          <w:pgMar w:top="1440" w:right="1752" w:bottom="1440" w:left="1752"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57471C40">
      <w:pPr>
        <w:topLinePunct/>
        <w:autoSpaceDE w:val="0"/>
        <w:autoSpaceDN w:val="0"/>
        <w:jc w:val="center"/>
        <w:rPr>
          <w:rFonts w:hint="eastAsia" w:ascii="华文中宋" w:hAnsi="华文中宋" w:eastAsia="华文中宋" w:cs="华文中宋"/>
          <w:b w:val="0"/>
          <w:bCs/>
          <w:color w:val="auto"/>
          <w:sz w:val="32"/>
          <w:szCs w:val="32"/>
          <w:highlight w:val="none"/>
        </w:rPr>
      </w:pPr>
    </w:p>
    <w:p w14:paraId="4849EF85">
      <w:pPr>
        <w:topLinePunct/>
        <w:autoSpaceDE w:val="0"/>
        <w:autoSpaceDN w:val="0"/>
        <w:jc w:val="center"/>
        <w:rPr>
          <w:rFonts w:hint="eastAsia" w:ascii="华文中宋" w:hAnsi="华文中宋" w:eastAsia="华文中宋" w:cs="华文中宋"/>
          <w:b w:val="0"/>
          <w:bCs/>
          <w:color w:val="auto"/>
          <w:sz w:val="32"/>
          <w:szCs w:val="32"/>
          <w:highlight w:val="none"/>
        </w:rPr>
      </w:pPr>
    </w:p>
    <w:p w14:paraId="6EDCC579">
      <w:pPr>
        <w:topLinePunct/>
        <w:autoSpaceDE w:val="0"/>
        <w:autoSpaceDN w:val="0"/>
        <w:jc w:val="center"/>
        <w:rPr>
          <w:rFonts w:hint="eastAsia" w:ascii="华文中宋" w:hAnsi="华文中宋" w:eastAsia="华文中宋" w:cs="华文中宋"/>
          <w:b w:val="0"/>
          <w:bCs/>
          <w:color w:val="auto"/>
          <w:sz w:val="32"/>
          <w:szCs w:val="32"/>
          <w:highlight w:val="none"/>
        </w:rPr>
      </w:pPr>
    </w:p>
    <w:p w14:paraId="22D34838">
      <w:pPr>
        <w:topLinePunct/>
        <w:autoSpaceDE w:val="0"/>
        <w:autoSpaceDN w:val="0"/>
        <w:jc w:val="center"/>
        <w:rPr>
          <w:rFonts w:hint="eastAsia" w:ascii="华文中宋" w:hAnsi="华文中宋" w:eastAsia="华文中宋" w:cs="华文中宋"/>
          <w:b w:val="0"/>
          <w:bCs/>
          <w:color w:val="auto"/>
          <w:sz w:val="32"/>
          <w:szCs w:val="32"/>
          <w:highlight w:val="none"/>
        </w:rPr>
      </w:pPr>
      <w:r>
        <w:rPr>
          <w:rFonts w:hint="eastAsia" w:ascii="华文中宋" w:hAnsi="华文中宋" w:eastAsia="华文中宋" w:cs="华文中宋"/>
          <w:b w:val="0"/>
          <w:bCs/>
          <w:color w:val="auto"/>
          <w:sz w:val="32"/>
          <w:szCs w:val="32"/>
          <w:highlight w:val="none"/>
        </w:rPr>
        <w:t>招 标 文 件</w:t>
      </w:r>
    </w:p>
    <w:p w14:paraId="64DD65A1">
      <w:pPr>
        <w:topLinePunct/>
        <w:autoSpaceDE w:val="0"/>
        <w:autoSpaceDN w:val="0"/>
        <w:spacing w:line="60" w:lineRule="exact"/>
        <w:jc w:val="center"/>
        <w:rPr>
          <w:rFonts w:hint="eastAsia" w:ascii="华文中宋" w:hAnsi="华文中宋" w:eastAsia="华文中宋" w:cs="华文中宋"/>
          <w:b w:val="0"/>
          <w:bCs/>
          <w:color w:val="auto"/>
          <w:sz w:val="32"/>
          <w:szCs w:val="32"/>
          <w:highlight w:val="none"/>
        </w:rPr>
      </w:pPr>
    </w:p>
    <w:p w14:paraId="6A40B25C">
      <w:pPr>
        <w:topLinePunct/>
        <w:autoSpaceDE w:val="0"/>
        <w:autoSpaceDN w:val="0"/>
        <w:snapToGrid w:val="0"/>
        <w:jc w:val="center"/>
        <w:rPr>
          <w:rFonts w:hint="eastAsia" w:ascii="华文中宋" w:hAnsi="华文中宋" w:eastAsia="华文中宋" w:cs="华文中宋"/>
          <w:b w:val="0"/>
          <w:bCs/>
          <w:color w:val="auto"/>
          <w:sz w:val="32"/>
          <w:szCs w:val="32"/>
          <w:highlight w:val="none"/>
        </w:rPr>
      </w:pPr>
      <w:r>
        <w:rPr>
          <w:rFonts w:hint="eastAsia" w:ascii="华文中宋" w:hAnsi="华文中宋" w:eastAsia="华文中宋" w:cs="华文中宋"/>
          <w:b w:val="0"/>
          <w:bCs/>
          <w:color w:val="auto"/>
          <w:sz w:val="32"/>
          <w:szCs w:val="32"/>
          <w:highlight w:val="none"/>
        </w:rPr>
        <w:t>（技术部分）</w:t>
      </w:r>
    </w:p>
    <w:p w14:paraId="1F26F0C5">
      <w:pPr>
        <w:topLinePunct/>
        <w:autoSpaceDE w:val="0"/>
        <w:autoSpaceDN w:val="0"/>
        <w:snapToGrid w:val="0"/>
        <w:rPr>
          <w:rFonts w:ascii="宋体" w:hAnsi="宋体"/>
          <w:color w:val="auto"/>
          <w:sz w:val="32"/>
          <w:szCs w:val="32"/>
          <w:highlight w:val="none"/>
        </w:rPr>
      </w:pPr>
    </w:p>
    <w:p w14:paraId="77437B6E">
      <w:pPr>
        <w:pStyle w:val="8"/>
        <w:rPr>
          <w:rFonts w:ascii="宋体" w:hAnsi="宋体"/>
          <w:color w:val="auto"/>
          <w:sz w:val="32"/>
          <w:szCs w:val="32"/>
          <w:highlight w:val="none"/>
        </w:rPr>
      </w:pPr>
    </w:p>
    <w:p w14:paraId="7802DE87">
      <w:pPr>
        <w:rPr>
          <w:rFonts w:ascii="宋体" w:hAnsi="宋体"/>
          <w:color w:val="auto"/>
          <w:sz w:val="32"/>
          <w:szCs w:val="32"/>
          <w:highlight w:val="none"/>
        </w:rPr>
      </w:pPr>
    </w:p>
    <w:p w14:paraId="63F16227">
      <w:pPr>
        <w:pStyle w:val="8"/>
        <w:rPr>
          <w:color w:val="auto"/>
          <w:highlight w:val="none"/>
        </w:rPr>
      </w:pPr>
    </w:p>
    <w:p w14:paraId="6B02F985">
      <w:pPr>
        <w:pStyle w:val="8"/>
        <w:rPr>
          <w:color w:val="auto"/>
          <w:highlight w:val="none"/>
        </w:rPr>
      </w:pPr>
    </w:p>
    <w:p w14:paraId="73F3F7D7">
      <w:pPr>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sz w:val="24"/>
          <w:szCs w:val="24"/>
          <w:highlight w:val="none"/>
        </w:rPr>
        <w:t>项目名称：</w:t>
      </w:r>
      <w:r>
        <w:rPr>
          <w:rFonts w:hint="eastAsia" w:ascii="方正小标宋简体" w:hAnsi="方正小标宋简体" w:eastAsia="方正小标宋简体" w:cs="方正小标宋简体"/>
          <w:color w:val="auto"/>
          <w:sz w:val="24"/>
          <w:szCs w:val="24"/>
          <w:highlight w:val="none"/>
          <w:u w:val="none"/>
        </w:rPr>
        <w:t>________________________</w:t>
      </w:r>
    </w:p>
    <w:p w14:paraId="03DC5CC6">
      <w:pPr>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sz w:val="24"/>
          <w:szCs w:val="24"/>
          <w:highlight w:val="none"/>
        </w:rPr>
        <w:t>项目编号：</w:t>
      </w:r>
      <w:r>
        <w:rPr>
          <w:rFonts w:hint="eastAsia" w:ascii="方正小标宋简体" w:hAnsi="方正小标宋简体" w:eastAsia="方正小标宋简体" w:cs="方正小标宋简体"/>
          <w:color w:val="auto"/>
          <w:sz w:val="24"/>
          <w:szCs w:val="24"/>
          <w:highlight w:val="none"/>
          <w:u w:val="none"/>
        </w:rPr>
        <w:t>________________________</w:t>
      </w:r>
    </w:p>
    <w:p w14:paraId="43EF7A26">
      <w:pPr>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sz w:val="24"/>
          <w:szCs w:val="24"/>
          <w:highlight w:val="none"/>
        </w:rPr>
        <w:t>采购人名称：</w:t>
      </w:r>
      <w:r>
        <w:rPr>
          <w:rFonts w:hint="eastAsia" w:ascii="方正小标宋简体" w:hAnsi="方正小标宋简体" w:eastAsia="方正小标宋简体" w:cs="方正小标宋简体"/>
          <w:color w:val="auto"/>
          <w:sz w:val="24"/>
          <w:szCs w:val="24"/>
          <w:highlight w:val="none"/>
          <w:u w:val="none"/>
        </w:rPr>
        <w:t>______________________</w:t>
      </w:r>
    </w:p>
    <w:p w14:paraId="00227168">
      <w:pPr>
        <w:jc w:val="center"/>
        <w:rPr>
          <w:rFonts w:hint="eastAsia" w:ascii="方正小标宋简体" w:hAnsi="方正小标宋简体" w:eastAsia="方正小标宋简体" w:cs="方正小标宋简体"/>
          <w:color w:val="auto"/>
          <w:sz w:val="24"/>
          <w:szCs w:val="24"/>
          <w:highlight w:val="none"/>
          <w:u w:val="none"/>
        </w:rPr>
      </w:pPr>
      <w:r>
        <w:rPr>
          <w:rFonts w:hint="eastAsia" w:ascii="方正小标宋简体" w:hAnsi="方正小标宋简体" w:eastAsia="方正小标宋简体" w:cs="方正小标宋简体"/>
          <w:color w:val="auto"/>
          <w:sz w:val="24"/>
          <w:szCs w:val="24"/>
          <w:highlight w:val="none"/>
        </w:rPr>
        <w:t>采购代理机构：</w:t>
      </w:r>
      <w:r>
        <w:rPr>
          <w:rFonts w:hint="eastAsia" w:ascii="方正小标宋简体" w:hAnsi="方正小标宋简体" w:eastAsia="方正小标宋简体" w:cs="方正小标宋简体"/>
          <w:color w:val="auto"/>
          <w:sz w:val="24"/>
          <w:szCs w:val="24"/>
          <w:highlight w:val="none"/>
          <w:u w:val="none"/>
        </w:rPr>
        <w:t>____________________</w:t>
      </w:r>
    </w:p>
    <w:p w14:paraId="364EB236">
      <w:pPr>
        <w:topLinePunct/>
        <w:autoSpaceDE w:val="0"/>
        <w:autoSpaceDN w:val="0"/>
        <w:spacing w:line="460" w:lineRule="exact"/>
        <w:rPr>
          <w:rFonts w:hint="eastAsia" w:ascii="方正小标宋简体" w:hAnsi="方正小标宋简体" w:eastAsia="方正小标宋简体" w:cs="方正小标宋简体"/>
          <w:b/>
          <w:bCs/>
          <w:color w:val="auto"/>
          <w:sz w:val="24"/>
          <w:szCs w:val="24"/>
          <w:highlight w:val="none"/>
        </w:rPr>
      </w:pPr>
    </w:p>
    <w:p w14:paraId="301C8541">
      <w:pPr>
        <w:topLinePunct/>
        <w:autoSpaceDE w:val="0"/>
        <w:autoSpaceDN w:val="0"/>
        <w:spacing w:line="460" w:lineRule="exact"/>
        <w:rPr>
          <w:rFonts w:hint="eastAsia" w:ascii="方正小标宋简体" w:hAnsi="方正小标宋简体" w:eastAsia="方正小标宋简体" w:cs="方正小标宋简体"/>
          <w:b/>
          <w:bCs/>
          <w:color w:val="auto"/>
          <w:sz w:val="24"/>
          <w:szCs w:val="24"/>
          <w:highlight w:val="none"/>
        </w:rPr>
      </w:pPr>
    </w:p>
    <w:p w14:paraId="2E2E57B0">
      <w:pPr>
        <w:topLinePunct/>
        <w:autoSpaceDE w:val="0"/>
        <w:autoSpaceDN w:val="0"/>
        <w:spacing w:line="460" w:lineRule="exact"/>
        <w:rPr>
          <w:rFonts w:hint="eastAsia" w:ascii="方正小标宋简体" w:hAnsi="方正小标宋简体" w:eastAsia="方正小标宋简体" w:cs="方正小标宋简体"/>
          <w:b/>
          <w:color w:val="auto"/>
          <w:sz w:val="24"/>
          <w:szCs w:val="24"/>
          <w:highlight w:val="none"/>
        </w:rPr>
      </w:pPr>
    </w:p>
    <w:p w14:paraId="7707D729">
      <w:pPr>
        <w:topLinePunct/>
        <w:autoSpaceDE w:val="0"/>
        <w:autoSpaceDN w:val="0"/>
        <w:spacing w:line="460" w:lineRule="exact"/>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sz w:val="24"/>
          <w:szCs w:val="24"/>
          <w:highlight w:val="none"/>
        </w:rPr>
        <w:t>国家税务总局XXX税务局</w:t>
      </w:r>
    </w:p>
    <w:p w14:paraId="1B5C316D">
      <w:pPr>
        <w:topLinePunct/>
        <w:autoSpaceDE w:val="0"/>
        <w:autoSpaceDN w:val="0"/>
        <w:spacing w:line="160" w:lineRule="exact"/>
        <w:jc w:val="center"/>
        <w:rPr>
          <w:rFonts w:hint="eastAsia" w:ascii="方正小标宋简体" w:hAnsi="方正小标宋简体" w:eastAsia="方正小标宋简体" w:cs="方正小标宋简体"/>
          <w:color w:val="auto"/>
          <w:sz w:val="24"/>
          <w:szCs w:val="24"/>
          <w:highlight w:val="none"/>
        </w:rPr>
      </w:pPr>
    </w:p>
    <w:p w14:paraId="670DE61D">
      <w:pPr>
        <w:topLinePunct/>
        <w:autoSpaceDE w:val="0"/>
        <w:autoSpaceDN w:val="0"/>
        <w:spacing w:line="460" w:lineRule="exact"/>
        <w:jc w:val="center"/>
        <w:rPr>
          <w:rFonts w:hint="eastAsia" w:ascii="方正小标宋简体" w:hAnsi="方正小标宋简体" w:eastAsia="方正小标宋简体" w:cs="方正小标宋简体"/>
          <w:color w:val="auto"/>
          <w:sz w:val="24"/>
          <w:szCs w:val="24"/>
          <w:highlight w:val="none"/>
        </w:rPr>
      </w:pPr>
      <w:r>
        <w:rPr>
          <w:rFonts w:hint="eastAsia" w:ascii="方正小标宋简体" w:hAnsi="方正小标宋简体" w:eastAsia="方正小标宋简体" w:cs="方正小标宋简体"/>
          <w:color w:val="auto"/>
          <w:sz w:val="24"/>
          <w:szCs w:val="24"/>
          <w:highlight w:val="none"/>
        </w:rPr>
        <w:t>______年____月____日</w:t>
      </w:r>
    </w:p>
    <w:p w14:paraId="2815BA56">
      <w:pPr>
        <w:widowControl/>
        <w:spacing w:after="0" w:line="240" w:lineRule="auto"/>
        <w:jc w:val="center"/>
        <w:rPr>
          <w:rFonts w:hint="eastAsia" w:ascii="华文中宋" w:hAnsi="华文中宋" w:eastAsia="华文中宋" w:cs="华文中宋"/>
          <w:color w:val="auto"/>
          <w:sz w:val="28"/>
          <w:szCs w:val="28"/>
          <w:highlight w:val="none"/>
        </w:rPr>
      </w:pPr>
      <w:r>
        <w:rPr>
          <w:rFonts w:hint="eastAsia" w:ascii="方正小标宋简体" w:hAnsi="方正小标宋简体" w:eastAsia="方正小标宋简体" w:cs="方正小标宋简体"/>
          <w:color w:val="auto"/>
          <w:sz w:val="24"/>
          <w:szCs w:val="24"/>
          <w:highlight w:val="none"/>
        </w:rPr>
        <w:br w:type="page"/>
      </w:r>
      <w:bookmarkStart w:id="53" w:name="_Toc132880285"/>
      <w:r>
        <w:rPr>
          <w:rFonts w:hint="eastAsia" w:ascii="华文中宋" w:hAnsi="华文中宋" w:eastAsia="华文中宋" w:cs="华文中宋"/>
          <w:color w:val="auto"/>
          <w:sz w:val="28"/>
          <w:szCs w:val="28"/>
          <w:highlight w:val="none"/>
        </w:rPr>
        <w:t>第六章  项目采购需求</w:t>
      </w:r>
      <w:bookmarkEnd w:id="53"/>
    </w:p>
    <w:p w14:paraId="3582FB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highlight w:val="none"/>
        </w:rPr>
      </w:pPr>
      <w:bookmarkStart w:id="54" w:name="_Toc129529569"/>
      <w:bookmarkStart w:id="55" w:name="_Toc132880286"/>
      <w:r>
        <w:rPr>
          <w:rFonts w:hint="eastAsia" w:ascii="黑体" w:hAnsi="黑体" w:eastAsia="黑体" w:cs="黑体"/>
          <w:color w:val="auto"/>
          <w:highlight w:val="none"/>
        </w:rPr>
        <w:t>一、项目概况</w:t>
      </w:r>
      <w:bookmarkEnd w:id="54"/>
      <w:bookmarkEnd w:id="55"/>
    </w:p>
    <w:p w14:paraId="5D3F41F6">
      <w:pPr>
        <w:spacing w:line="360" w:lineRule="auto"/>
        <w:ind w:firstLine="420" w:firstLineChars="200"/>
        <w:rPr>
          <w:rFonts w:hint="eastAsia"/>
        </w:rPr>
      </w:pPr>
      <w:r>
        <w:rPr>
          <w:rFonts w:hint="eastAsia" w:ascii="宋体" w:hAnsi="宋体" w:eastAsia="宋体" w:cs="宋体"/>
          <w:sz w:val="21"/>
          <w:szCs w:val="21"/>
        </w:rPr>
        <w:t>本次采购内容主要是国家税务总局</w:t>
      </w:r>
      <w:r>
        <w:rPr>
          <w:rFonts w:hint="eastAsia" w:ascii="宋体" w:hAnsi="宋体" w:eastAsia="宋体" w:cs="宋体"/>
          <w:sz w:val="21"/>
          <w:szCs w:val="21"/>
          <w:lang w:eastAsia="zh-CN"/>
        </w:rPr>
        <w:t>三明市三元区</w:t>
      </w:r>
      <w:r>
        <w:rPr>
          <w:rFonts w:hint="eastAsia" w:ascii="宋体" w:hAnsi="宋体" w:eastAsia="宋体" w:cs="宋体"/>
          <w:sz w:val="21"/>
          <w:szCs w:val="21"/>
        </w:rPr>
        <w:t>税务局机关大楼食堂食材配送项目，预算预估</w:t>
      </w:r>
      <w:r>
        <w:rPr>
          <w:rFonts w:hint="eastAsia" w:ascii="宋体" w:hAnsi="宋体" w:eastAsia="宋体" w:cs="宋体"/>
          <w:sz w:val="21"/>
          <w:szCs w:val="21"/>
          <w:lang w:val="en-US" w:eastAsia="zh-CN"/>
        </w:rPr>
        <w:t>135</w:t>
      </w:r>
      <w:r>
        <w:rPr>
          <w:rFonts w:hint="eastAsia" w:ascii="宋体" w:hAnsi="宋体" w:eastAsia="宋体" w:cs="宋体"/>
          <w:sz w:val="21"/>
          <w:szCs w:val="21"/>
        </w:rPr>
        <w:t>万元，服务内容为食堂食材配送。所采购服务商须保障采购人食堂用餐食材需求，配送范围：蔬菜、</w:t>
      </w:r>
      <w:r>
        <w:rPr>
          <w:rFonts w:hint="eastAsia" w:ascii="宋体" w:hAnsi="宋体" w:eastAsia="宋体" w:cs="宋体"/>
          <w:sz w:val="21"/>
          <w:szCs w:val="21"/>
          <w:lang w:eastAsia="zh-CN"/>
        </w:rPr>
        <w:t>豆制品</w:t>
      </w:r>
      <w:r>
        <w:rPr>
          <w:rFonts w:hint="eastAsia" w:ascii="宋体" w:hAnsi="宋体" w:eastAsia="宋体" w:cs="宋体"/>
          <w:sz w:val="21"/>
          <w:szCs w:val="21"/>
        </w:rPr>
        <w:t>、</w:t>
      </w:r>
      <w:r>
        <w:rPr>
          <w:rFonts w:hint="eastAsia" w:ascii="宋体" w:hAnsi="宋体" w:eastAsia="宋体" w:cs="宋体"/>
          <w:sz w:val="21"/>
          <w:szCs w:val="21"/>
          <w:lang w:eastAsia="zh-CN"/>
        </w:rPr>
        <w:t>海鲜、冻品食材</w:t>
      </w:r>
      <w:r>
        <w:rPr>
          <w:rFonts w:hint="eastAsia" w:ascii="宋体" w:hAnsi="宋体" w:eastAsia="宋体" w:cs="宋体"/>
          <w:sz w:val="21"/>
          <w:szCs w:val="21"/>
        </w:rPr>
        <w:t>类</w:t>
      </w:r>
      <w:r>
        <w:rPr>
          <w:rFonts w:hint="eastAsia" w:ascii="宋体" w:hAnsi="宋体" w:eastAsia="宋体" w:cs="宋体"/>
          <w:sz w:val="21"/>
          <w:szCs w:val="21"/>
          <w:lang w:eastAsia="zh-CN"/>
        </w:rPr>
        <w:t>；</w:t>
      </w:r>
      <w:r>
        <w:rPr>
          <w:rFonts w:hint="eastAsia" w:ascii="宋体" w:hAnsi="宋体" w:eastAsia="宋体" w:cs="宋体"/>
          <w:sz w:val="21"/>
          <w:szCs w:val="21"/>
        </w:rPr>
        <w:t>禽蛋肉类</w:t>
      </w:r>
      <w:r>
        <w:rPr>
          <w:rFonts w:hint="eastAsia" w:ascii="宋体" w:hAnsi="宋体" w:eastAsia="宋体" w:cs="宋体"/>
          <w:sz w:val="21"/>
          <w:szCs w:val="21"/>
          <w:lang w:eastAsia="zh-CN"/>
        </w:rPr>
        <w:t>；</w:t>
      </w:r>
      <w:r>
        <w:rPr>
          <w:rFonts w:hint="eastAsia" w:ascii="宋体" w:hAnsi="宋体" w:eastAsia="宋体" w:cs="宋体"/>
          <w:sz w:val="21"/>
          <w:szCs w:val="21"/>
        </w:rPr>
        <w:t>调味品、食用油、干货类</w:t>
      </w:r>
      <w:r>
        <w:rPr>
          <w:rFonts w:hint="eastAsia" w:ascii="宋体" w:hAnsi="宋体" w:eastAsia="宋体" w:cs="宋体"/>
          <w:sz w:val="21"/>
          <w:szCs w:val="21"/>
          <w:lang w:eastAsia="zh-CN"/>
        </w:rPr>
        <w:t>等三类食材</w:t>
      </w:r>
      <w:r>
        <w:rPr>
          <w:rFonts w:hint="eastAsia" w:ascii="宋体" w:hAnsi="宋体" w:eastAsia="宋体" w:cs="宋体"/>
          <w:sz w:val="21"/>
          <w:szCs w:val="21"/>
        </w:rPr>
        <w:t>。</w:t>
      </w:r>
      <w:r>
        <w:rPr>
          <w:rFonts w:hint="eastAsia" w:ascii="宋体" w:hAnsi="宋体" w:eastAsia="宋体" w:cs="宋体"/>
          <w:sz w:val="21"/>
          <w:szCs w:val="21"/>
          <w:lang w:eastAsia="zh-CN"/>
        </w:rPr>
        <w:t>三明市三元区</w:t>
      </w:r>
      <w:r>
        <w:rPr>
          <w:rFonts w:hint="eastAsia" w:ascii="宋体" w:hAnsi="宋体" w:eastAsia="宋体" w:cs="宋体"/>
          <w:sz w:val="21"/>
          <w:szCs w:val="21"/>
        </w:rPr>
        <w:t>税务局通过公开招标确定食堂食材供应商，采购人希望通过本次招标确定保障能力强、产品质量可靠的供应商，本次拟采购</w:t>
      </w:r>
      <w:r>
        <w:rPr>
          <w:rFonts w:hint="eastAsia" w:ascii="宋体" w:hAnsi="宋体" w:eastAsia="宋体" w:cs="宋体"/>
          <w:sz w:val="21"/>
          <w:szCs w:val="21"/>
          <w:lang w:eastAsia="zh-CN"/>
        </w:rPr>
        <w:t>一</w:t>
      </w:r>
      <w:r>
        <w:rPr>
          <w:rFonts w:hint="eastAsia" w:ascii="宋体" w:hAnsi="宋体" w:eastAsia="宋体" w:cs="宋体"/>
          <w:sz w:val="21"/>
          <w:szCs w:val="21"/>
        </w:rPr>
        <w:t>年期配送服务。 </w:t>
      </w:r>
    </w:p>
    <w:tbl>
      <w:tblPr>
        <w:tblStyle w:val="16"/>
        <w:tblW w:w="8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7"/>
        <w:gridCol w:w="3535"/>
        <w:gridCol w:w="1364"/>
        <w:gridCol w:w="2333"/>
      </w:tblGrid>
      <w:tr w14:paraId="13A7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967" w:type="dxa"/>
            <w:noWrap w:val="0"/>
            <w:vAlign w:val="center"/>
          </w:tcPr>
          <w:p w14:paraId="63EAC514">
            <w:pPr>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采购包</w:t>
            </w:r>
          </w:p>
        </w:tc>
        <w:tc>
          <w:tcPr>
            <w:tcW w:w="3535" w:type="dxa"/>
            <w:noWrap w:val="0"/>
            <w:vAlign w:val="center"/>
          </w:tcPr>
          <w:p w14:paraId="282279F2">
            <w:pPr>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采购标的</w:t>
            </w:r>
          </w:p>
        </w:tc>
        <w:tc>
          <w:tcPr>
            <w:tcW w:w="1364" w:type="dxa"/>
            <w:noWrap w:val="0"/>
            <w:vAlign w:val="center"/>
          </w:tcPr>
          <w:p w14:paraId="350480CC">
            <w:pPr>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最高限价</w:t>
            </w:r>
          </w:p>
        </w:tc>
        <w:tc>
          <w:tcPr>
            <w:tcW w:w="2333" w:type="dxa"/>
            <w:noWrap w:val="0"/>
            <w:vAlign w:val="top"/>
          </w:tcPr>
          <w:p w14:paraId="73B85E15">
            <w:pPr>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采购标的对应的中小企业划分标准所属行业</w:t>
            </w:r>
          </w:p>
        </w:tc>
      </w:tr>
      <w:tr w14:paraId="7CD1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967" w:type="dxa"/>
            <w:noWrap w:val="0"/>
            <w:vAlign w:val="center"/>
          </w:tcPr>
          <w:p w14:paraId="250EB715">
            <w:pPr>
              <w:spacing w:after="0" w:line="36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3535" w:type="dxa"/>
            <w:noWrap w:val="0"/>
            <w:vAlign w:val="center"/>
          </w:tcPr>
          <w:p w14:paraId="6BA72F17">
            <w:pPr>
              <w:spacing w:after="0" w:line="360" w:lineRule="auto"/>
              <w:jc w:val="center"/>
              <w:rPr>
                <w:rFonts w:hint="default" w:ascii="Times New Roman" w:hAnsi="Times New Roman"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蔬菜、豆制品、海鲜、冻品食材类</w:t>
            </w:r>
          </w:p>
        </w:tc>
        <w:tc>
          <w:tcPr>
            <w:tcW w:w="1364" w:type="dxa"/>
            <w:noWrap w:val="0"/>
            <w:vAlign w:val="center"/>
          </w:tcPr>
          <w:p w14:paraId="354C6F52">
            <w:pPr>
              <w:spacing w:after="0" w:line="360" w:lineRule="auto"/>
              <w:jc w:val="center"/>
              <w:rPr>
                <w:rFonts w:hint="default" w:ascii="Times New Roman" w:hAnsi="Times New Roman" w:eastAsia="宋体" w:cs="Times New Roman"/>
                <w:color w:val="auto"/>
                <w:sz w:val="21"/>
                <w:szCs w:val="21"/>
                <w:highlight w:val="none"/>
                <w:lang w:val="en-US"/>
              </w:rPr>
            </w:pPr>
            <w:r>
              <w:rPr>
                <w:rFonts w:hint="eastAsia" w:ascii="宋体" w:hAnsi="宋体" w:eastAsia="宋体" w:cs="Times New Roman"/>
                <w:color w:val="auto"/>
                <w:sz w:val="21"/>
                <w:szCs w:val="21"/>
                <w:highlight w:val="none"/>
                <w:lang w:val="en-US" w:eastAsia="zh-CN"/>
              </w:rPr>
              <w:t>45</w:t>
            </w:r>
            <w:r>
              <w:rPr>
                <w:rFonts w:hint="eastAsia" w:ascii="宋体" w:hAnsi="宋体" w:cs="Times New Roman"/>
                <w:color w:val="auto"/>
                <w:sz w:val="21"/>
                <w:szCs w:val="21"/>
                <w:highlight w:val="none"/>
                <w:lang w:val="en-US" w:eastAsia="zh-CN"/>
              </w:rPr>
              <w:t>万元</w:t>
            </w:r>
          </w:p>
        </w:tc>
        <w:tc>
          <w:tcPr>
            <w:tcW w:w="2333" w:type="dxa"/>
            <w:noWrap w:val="0"/>
            <w:vAlign w:val="center"/>
          </w:tcPr>
          <w:p w14:paraId="14775ACB">
            <w:pPr>
              <w:spacing w:after="0" w:line="36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批发业</w:t>
            </w:r>
          </w:p>
        </w:tc>
      </w:tr>
      <w:tr w14:paraId="14B34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967" w:type="dxa"/>
            <w:noWrap w:val="0"/>
            <w:vAlign w:val="center"/>
          </w:tcPr>
          <w:p w14:paraId="06342565">
            <w:pPr>
              <w:spacing w:after="0" w:line="36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3535" w:type="dxa"/>
            <w:noWrap w:val="0"/>
            <w:vAlign w:val="center"/>
          </w:tcPr>
          <w:p w14:paraId="53C2C30B">
            <w:pPr>
              <w:spacing w:after="0" w:line="360" w:lineRule="auto"/>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禽蛋肉类</w:t>
            </w:r>
          </w:p>
        </w:tc>
        <w:tc>
          <w:tcPr>
            <w:tcW w:w="1364" w:type="dxa"/>
            <w:noWrap w:val="0"/>
            <w:vAlign w:val="center"/>
          </w:tcPr>
          <w:p w14:paraId="2CADD8DC">
            <w:pPr>
              <w:spacing w:after="0" w:line="360" w:lineRule="auto"/>
              <w:jc w:val="center"/>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70</w:t>
            </w:r>
            <w:r>
              <w:rPr>
                <w:rFonts w:hint="eastAsia" w:ascii="宋体" w:hAnsi="宋体" w:cs="Times New Roman"/>
                <w:color w:val="auto"/>
                <w:sz w:val="21"/>
                <w:szCs w:val="21"/>
                <w:highlight w:val="none"/>
                <w:lang w:val="en-US" w:eastAsia="zh-CN"/>
              </w:rPr>
              <w:t>万元</w:t>
            </w:r>
          </w:p>
        </w:tc>
        <w:tc>
          <w:tcPr>
            <w:tcW w:w="2333" w:type="dxa"/>
            <w:noWrap w:val="0"/>
            <w:vAlign w:val="center"/>
          </w:tcPr>
          <w:p w14:paraId="0DD69C78">
            <w:pPr>
              <w:spacing w:after="0" w:line="36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批发业</w:t>
            </w:r>
          </w:p>
        </w:tc>
      </w:tr>
      <w:tr w14:paraId="56AB6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967" w:type="dxa"/>
            <w:noWrap w:val="0"/>
            <w:vAlign w:val="center"/>
          </w:tcPr>
          <w:p w14:paraId="6C268E9A">
            <w:pPr>
              <w:spacing w:after="0" w:line="360" w:lineRule="auto"/>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3535" w:type="dxa"/>
            <w:noWrap w:val="0"/>
            <w:vAlign w:val="center"/>
          </w:tcPr>
          <w:p w14:paraId="454F8DE6">
            <w:pPr>
              <w:spacing w:after="0" w:line="360" w:lineRule="auto"/>
              <w:jc w:val="center"/>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调味品、食用油、干货类</w:t>
            </w:r>
          </w:p>
        </w:tc>
        <w:tc>
          <w:tcPr>
            <w:tcW w:w="1364" w:type="dxa"/>
            <w:noWrap w:val="0"/>
            <w:vAlign w:val="center"/>
          </w:tcPr>
          <w:p w14:paraId="7E6121CC">
            <w:pPr>
              <w:spacing w:after="0" w:line="360" w:lineRule="auto"/>
              <w:jc w:val="center"/>
              <w:rPr>
                <w:rFonts w:hint="default" w:ascii="宋体" w:hAnsi="宋体" w:eastAsia="宋体" w:cs="Times New Roman"/>
                <w:b/>
                <w:bCs/>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20</w:t>
            </w:r>
            <w:r>
              <w:rPr>
                <w:rFonts w:hint="eastAsia" w:ascii="宋体" w:hAnsi="宋体" w:cs="Times New Roman"/>
                <w:color w:val="auto"/>
                <w:sz w:val="21"/>
                <w:szCs w:val="21"/>
                <w:highlight w:val="none"/>
                <w:lang w:val="en-US" w:eastAsia="zh-CN"/>
              </w:rPr>
              <w:t>万元</w:t>
            </w:r>
          </w:p>
        </w:tc>
        <w:tc>
          <w:tcPr>
            <w:tcW w:w="2333" w:type="dxa"/>
            <w:noWrap w:val="0"/>
            <w:vAlign w:val="center"/>
          </w:tcPr>
          <w:p w14:paraId="39D37BD2">
            <w:pPr>
              <w:spacing w:after="0" w:line="360" w:lineRule="auto"/>
              <w:jc w:val="center"/>
              <w:rPr>
                <w:rFonts w:hint="default" w:ascii="Times New Roman" w:hAnsi="Times New Roman" w:eastAsia="宋体" w:cs="Times New Roman"/>
                <w:color w:val="auto"/>
                <w:sz w:val="21"/>
                <w:szCs w:val="21"/>
                <w:highlight w:val="none"/>
              </w:rPr>
            </w:pPr>
            <w:r>
              <w:rPr>
                <w:rFonts w:hint="eastAsia" w:ascii="Times New Roman" w:hAnsi="Times New Roman" w:cs="Times New Roman"/>
                <w:color w:val="auto"/>
                <w:sz w:val="21"/>
                <w:szCs w:val="21"/>
                <w:highlight w:val="none"/>
                <w:lang w:val="en-US" w:eastAsia="zh-CN"/>
              </w:rPr>
              <w:t>批发业</w:t>
            </w:r>
          </w:p>
        </w:tc>
      </w:tr>
    </w:tbl>
    <w:p w14:paraId="48E14732">
      <w:pPr>
        <w:spacing w:after="0" w:line="240" w:lineRule="auto"/>
        <w:rPr>
          <w:rFonts w:ascii="Calibri" w:hAnsi="Calibri"/>
          <w:color w:val="auto"/>
          <w:szCs w:val="22"/>
          <w:highlight w:val="none"/>
        </w:rPr>
      </w:pPr>
    </w:p>
    <w:p w14:paraId="20A5C2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highlight w:val="none"/>
        </w:rPr>
      </w:pPr>
      <w:bookmarkStart w:id="56" w:name="_Toc132880287"/>
      <w:bookmarkStart w:id="57" w:name="_Toc129529570"/>
      <w:r>
        <w:rPr>
          <w:rFonts w:hint="eastAsia" w:ascii="黑体" w:hAnsi="黑体" w:eastAsia="黑体" w:cs="黑体"/>
          <w:color w:val="auto"/>
          <w:highlight w:val="none"/>
        </w:rPr>
        <w:t>二、技术要求</w:t>
      </w:r>
      <w:bookmarkEnd w:id="56"/>
      <w:bookmarkEnd w:id="57"/>
    </w:p>
    <w:p w14:paraId="0051FCDE">
      <w:pPr>
        <w:spacing w:line="360" w:lineRule="auto"/>
        <w:ind w:firstLine="420" w:firstLineChars="200"/>
        <w:rPr>
          <w:rFonts w:hint="eastAsia" w:ascii="宋体" w:hAnsi="宋体" w:eastAsia="宋体" w:cs="宋体"/>
          <w:sz w:val="21"/>
          <w:szCs w:val="21"/>
          <w:lang w:val="en-US" w:eastAsia="zh-CN"/>
        </w:rPr>
      </w:pPr>
      <w:bookmarkStart w:id="58" w:name="_Toc129529571"/>
      <w:bookmarkStart w:id="59" w:name="_Toc132880288"/>
      <w:r>
        <w:rPr>
          <w:rFonts w:hint="eastAsia" w:ascii="宋体" w:hAnsi="宋体" w:eastAsia="宋体" w:cs="宋体"/>
          <w:sz w:val="21"/>
          <w:szCs w:val="21"/>
          <w:lang w:eastAsia="zh-CN"/>
        </w:rPr>
        <w:t>采购包1：蔬菜、豆制品、海鲜、冻品食材类，包括蔬菜</w:t>
      </w:r>
      <w:r>
        <w:rPr>
          <w:rFonts w:hint="eastAsia" w:ascii="宋体" w:hAnsi="宋体" w:cs="宋体"/>
          <w:sz w:val="21"/>
          <w:szCs w:val="21"/>
          <w:lang w:eastAsia="zh-CN"/>
        </w:rPr>
        <w:t>、水果</w:t>
      </w:r>
      <w:r>
        <w:rPr>
          <w:rFonts w:hint="eastAsia" w:ascii="宋体" w:hAnsi="宋体" w:eastAsia="宋体" w:cs="宋体"/>
          <w:sz w:val="21"/>
          <w:szCs w:val="21"/>
          <w:lang w:eastAsia="zh-CN"/>
        </w:rPr>
        <w:t>、豆制品、新鲜海产品、淡水产品，包括水产品（含鲜活海产品、冰鲜水产品、淡水产品、贝类产品）及其附件类，各种动物肉类冷冻品、各类海水产淡水产冷冻制品及其附件。</w:t>
      </w:r>
    </w:p>
    <w:p w14:paraId="2CC0870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采购包2：禽蛋肉类，包括各类新鲜动物肉、禽蛋等。</w:t>
      </w:r>
    </w:p>
    <w:p w14:paraId="080C8CA9">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采购包3：调味品、食用油、干货类，包括大米、面粉、食用油、调味品、烘焙材料、水产干货、各类农产品干货等。</w:t>
      </w:r>
    </w:p>
    <w:p w14:paraId="29CA6D90">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（一）配送运输</w:t>
      </w:r>
    </w:p>
    <w:p w14:paraId="65DC2B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1.凡装运食品及食品原料的运输工具必须打扫干净，保持清洁，必要时应进行消毒，防止运输过程中的污染。</w:t>
      </w:r>
    </w:p>
    <w:p w14:paraId="0B00C1C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2.运输过程中，各产品装框分类，整齐码放，防止交叉污染和相互挤压等情况。</w:t>
      </w:r>
    </w:p>
    <w:p w14:paraId="6266C87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3.增强安全意识，随时保持警惕。食品或食品原料装车以后中途不得离人，必须有人看管，防止有人投毒等意外事故发生。</w:t>
      </w:r>
    </w:p>
    <w:p w14:paraId="55A92B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4.采购的食品及食品原料装车以后，坚持配送人员负责到底的原则，即中途不得更换送货人员，以防止出现差错而责任难以区分的情况。</w:t>
      </w:r>
    </w:p>
    <w:p w14:paraId="12CBF4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5.凡是装载过农药、化肥、异味浓烈、有毒物品的车辆不得用来运输食品及食品原料。</w:t>
      </w:r>
    </w:p>
    <w:p w14:paraId="4D5F47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6.中标人应负责将招标的物资，在规定的时间内送达且搬运至国家税务总局三明市</w:t>
      </w:r>
      <w:r>
        <w:rPr>
          <w:rFonts w:hint="eastAsia" w:ascii="宋体" w:hAnsi="宋体" w:eastAsia="宋体" w:cs="宋体"/>
          <w:sz w:val="21"/>
          <w:szCs w:val="21"/>
          <w:lang w:eastAsia="zh-CN"/>
        </w:rPr>
        <w:t>三元区</w:t>
      </w:r>
      <w:r>
        <w:rPr>
          <w:rFonts w:hint="eastAsia" w:ascii="宋体" w:hAnsi="宋体" w:eastAsia="宋体" w:cs="宋体"/>
          <w:sz w:val="21"/>
          <w:szCs w:val="21"/>
        </w:rPr>
        <w:t>税务局机关食堂（三明市三元区</w:t>
      </w:r>
      <w:r>
        <w:rPr>
          <w:rFonts w:hint="eastAsia" w:ascii="宋体" w:hAnsi="宋体" w:eastAsia="宋体" w:cs="宋体"/>
          <w:sz w:val="21"/>
          <w:szCs w:val="21"/>
          <w:lang w:eastAsia="zh-CN"/>
        </w:rPr>
        <w:t>和仁新村</w:t>
      </w:r>
      <w:r>
        <w:rPr>
          <w:rFonts w:hint="eastAsia" w:ascii="宋体" w:hAnsi="宋体" w:eastAsia="宋体" w:cs="宋体"/>
          <w:sz w:val="21"/>
          <w:szCs w:val="21"/>
          <w:lang w:val="en-US" w:eastAsia="zh-CN"/>
        </w:rPr>
        <w:t>43幢</w:t>
      </w:r>
      <w:r>
        <w:rPr>
          <w:rFonts w:hint="eastAsia" w:ascii="宋体" w:hAnsi="宋体" w:eastAsia="宋体" w:cs="宋体"/>
          <w:sz w:val="21"/>
          <w:szCs w:val="21"/>
        </w:rPr>
        <w:t>）。</w:t>
      </w:r>
    </w:p>
    <w:p w14:paraId="245C324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7.中标人应安排专人专车运送,至少自有或租赁1辆厢式货车，采购包1、2、3食材应在每日08:00前送达且搬运至采购人指定地点，需冷藏运输食材须采用冷链配送车辆配送，且至少自有或租赁1辆冷藏运输货车。</w:t>
      </w:r>
    </w:p>
    <w:p w14:paraId="02D1510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8.食品安全：食品周转必须采用符合卫生标准的外包装和运载工具，并且要定期消毒、保持清洁。食品堆放科学合理，避免食品交叉污染。</w:t>
      </w:r>
    </w:p>
    <w:p w14:paraId="048816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卫生清洁：运输车厢的内仓（包括地面、墙面和顶面）应使用抗腐蚀、防潮、易清洁消毒的材料。运输车辆应当保持清洁，无霉斑、鼠迹、苍蝇、蟑螂等，不得存放有毒、有害物品及个人生活用品，具有有效的防疫措施。运输车辆要每日消毒，保持清洁，车厢内无不良气味、异味。每日提供车辆消毒证明。</w:t>
      </w:r>
    </w:p>
    <w:p w14:paraId="626E5127">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（二）保障要求</w:t>
      </w:r>
    </w:p>
    <w:p w14:paraId="574F8BC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1.中标人必须在订货及配送过程中与采购单位保持密切配合。能根据采购单位采购人员下发的采购单内容进行采购配送，且保证所采购的产品质量完全合格。</w:t>
      </w:r>
    </w:p>
    <w:p w14:paraId="467668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2.中标人应每月15日</w:t>
      </w:r>
      <w:r>
        <w:rPr>
          <w:rFonts w:hint="eastAsia" w:ascii="宋体" w:hAnsi="宋体" w:cs="宋体"/>
          <w:sz w:val="21"/>
          <w:szCs w:val="21"/>
          <w:lang w:eastAsia="zh-CN"/>
        </w:rPr>
        <w:t>前</w:t>
      </w:r>
      <w:r>
        <w:rPr>
          <w:rFonts w:hint="eastAsia" w:ascii="宋体" w:hAnsi="宋体" w:eastAsia="宋体" w:cs="宋体"/>
          <w:sz w:val="21"/>
          <w:szCs w:val="21"/>
        </w:rPr>
        <w:t>向采购人提供所供应产品的质量检验证明、质量检验报告等。</w:t>
      </w:r>
    </w:p>
    <w:p w14:paraId="042CB63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3.肉制品、冻品必须附带本批次动物制品检验检疫合格证。蔬菜瓜果类必须附带本批次农药残留检测报告。</w:t>
      </w:r>
    </w:p>
    <w:p w14:paraId="56F77A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4.对有质量问题、来路不明、腐烂变质、价格偏高、超出采购单要求重量部分、存在其他食品安全隐患的原材料，采购人有权拒绝收货、退货，若发现存在以上情况，并要求中标人支付违约金5000元/次。</w:t>
      </w:r>
    </w:p>
    <w:p w14:paraId="4C6CD6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5.送货人需要进入库房、加工区时，需要遵守采购人的相关管理规定。</w:t>
      </w:r>
    </w:p>
    <w:p w14:paraId="338280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6.送货人负责将所供应产品搬运到指定地点，摆放整齐。</w:t>
      </w:r>
    </w:p>
    <w:p w14:paraId="6F49F6D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7.投标人拟配置于本项目的人员：</w:t>
      </w:r>
    </w:p>
    <w:p w14:paraId="3959A73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（1）不得有涉黄、涉赌、涉毒、涉黑以及有任何的违法、违纪等不良记录。投标人中标后为采购人提供相应人员户籍所在地派出所出具的背景核查证明。</w:t>
      </w:r>
      <w:r>
        <w:rPr>
          <w:rFonts w:hint="eastAsia" w:ascii="宋体" w:hAnsi="宋体" w:eastAsia="宋体" w:cs="宋体"/>
          <w:b/>
          <w:bCs/>
          <w:sz w:val="21"/>
          <w:szCs w:val="21"/>
        </w:rPr>
        <w:t>（本项为实质性要求，提供承诺函，否则投标作无效处理，中标人提供虚假承诺的，采购人有权立即解除合同，一切损失与费用由中标人承担）</w:t>
      </w:r>
    </w:p>
    <w:p w14:paraId="398005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（2）拟配置于本项目的配送人员，中标后需向采购人提供健康证；本项目要求专人专车负责配送，中标后向采购人提供配送人员有效的身份证件和车辆行驶证证件。</w:t>
      </w:r>
      <w:r>
        <w:rPr>
          <w:rFonts w:hint="eastAsia" w:ascii="宋体" w:hAnsi="宋体" w:eastAsia="宋体" w:cs="宋体"/>
          <w:b/>
          <w:bCs/>
          <w:sz w:val="21"/>
          <w:szCs w:val="21"/>
        </w:rPr>
        <w:t>（本项为实质性要求，提供承诺函，否则投标作无效处理）</w:t>
      </w:r>
    </w:p>
    <w:p w14:paraId="28EE2A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（3）供应商负责本项目履约过程中的服务人员的安全教育、安全保障、安全责任、保密教育、保密责任。中标人负责本项目的服务人员须签订安全保密协议。</w:t>
      </w:r>
      <w:r>
        <w:rPr>
          <w:rFonts w:hint="eastAsia" w:ascii="宋体" w:hAnsi="宋体" w:eastAsia="宋体" w:cs="宋体"/>
          <w:b/>
          <w:bCs/>
          <w:sz w:val="21"/>
          <w:szCs w:val="21"/>
        </w:rPr>
        <w:t>（本项为实质性要求，提供承诺函，否则投标作无效处理）</w:t>
      </w:r>
    </w:p>
    <w:p w14:paraId="5A04CCB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中标人所供应的货物必须符合《中华人民共和国食品安全法》《中华人民共和国产品质量法》等法律法规、国家行业有关规范及三明市食品监管有关规定，保证来源正规安全，均符合国家规定的质量、卫生、安全和防疫标准，并具有相关的检验检疫合格证明。</w:t>
      </w:r>
    </w:p>
    <w:p w14:paraId="707330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中标人供货数量、重量不低于或高于订单采购量的5％，否则视为违约处理。中标人应对所供货物按国家有关标准进行配送，不得短斤少两、以次充好。验收时采购人若发现中标人所供货物重量不符合要求，采购人有权拒收、退回，中标人应负全部责任。采购人以现场测量实际重量结算。</w:t>
      </w:r>
    </w:p>
    <w:p w14:paraId="4C3336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10.中标人应接受采购人意见进行整改、及时退换货、遵守采购人管理制度及相关规定，满足采购人特殊采购模式的需求。若采购人突发应急采购，可允许采购人指定专人从中标人就近提货点提取所需货物。</w:t>
      </w:r>
    </w:p>
    <w:p w14:paraId="22465FE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中标人必须按时按量按质将货物送到采购人指定地点，并由采购人当面核实重量，并按照招标文件中列明的标准进行验收。验收完毕后，双方必须在货物收货清单（格式自定，但必须包括货物单价、数量、重量、合价等内容）上签名确认，货物收货清单作为采购人支付货款的依据之一。收货时由中标人及采购人严格按照质量标准要求规定共同进行验收，中标人必须按照采购人执行的索证制度的时间规定提供对应品种的检验检疫检测报告等证明材料。</w:t>
      </w:r>
    </w:p>
    <w:p w14:paraId="706A546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对所供的货物提供“三包”，对质量不合格产品实行包换、包退。食品应安全清洁，并符合相关验收标准，食品应无损伤、腐烂现象、无寄生虫或已受虫害现象，对温度有要求的食品应确定食品的中心温度符合要求，保证在必要的保鲜或冷冻设施设备中储藏，转运车辆温度记录有留档可现场查验。若食品出现质量问题，中标人应在接到采购人通知后60分钟内无条件退换到位。</w:t>
      </w:r>
    </w:p>
    <w:p w14:paraId="65273514">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（三）商品价格</w:t>
      </w:r>
    </w:p>
    <w:p w14:paraId="702EC53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人每月末的倒数第6个工作日确定下个自然月食材采购品种及数量需求，形成《食材报价表》，并发送给中标人，中标人收到《食材报价表》后3天（最迟应在月末倒数第2个工作日）上午9点，派人将电子版及加盖公章的纸质《食材报价表》报送至三明市</w:t>
      </w:r>
      <w:r>
        <w:rPr>
          <w:rFonts w:hint="eastAsia" w:ascii="宋体" w:hAnsi="宋体" w:eastAsia="宋体" w:cs="宋体"/>
          <w:sz w:val="21"/>
          <w:szCs w:val="21"/>
          <w:lang w:eastAsia="zh-CN"/>
        </w:rPr>
        <w:t>三元区</w:t>
      </w:r>
      <w:r>
        <w:rPr>
          <w:rFonts w:hint="eastAsia" w:ascii="宋体" w:hAnsi="宋体" w:eastAsia="宋体" w:cs="宋体"/>
          <w:sz w:val="21"/>
          <w:szCs w:val="21"/>
        </w:rPr>
        <w:t>税务局</w:t>
      </w:r>
      <w:r>
        <w:rPr>
          <w:rFonts w:hint="eastAsia" w:ascii="宋体" w:hAnsi="宋体" w:eastAsia="宋体" w:cs="宋体"/>
          <w:sz w:val="21"/>
          <w:szCs w:val="21"/>
          <w:lang w:val="en-US" w:eastAsia="zh-CN"/>
        </w:rPr>
        <w:t>3楼</w:t>
      </w:r>
      <w:r>
        <w:rPr>
          <w:rFonts w:hint="eastAsia" w:ascii="宋体" w:hAnsi="宋体" w:eastAsia="宋体" w:cs="宋体"/>
          <w:sz w:val="21"/>
          <w:szCs w:val="21"/>
        </w:rPr>
        <w:t>，并以此价格作为下个自然月食材款结算价格。结算价格不得高于填报《食材报价表》的当天的基准价*结算系数（如打8.5折，即投标结算系数为0.85）。基准价为三明夏商百货（列东店）、大润发（三明店）、永辉超市（三明阳光城店）所售卖商品价格均价。如上述超市运营模式发生改变或注销，采购人有权选定本地其他中大型商超进行替换。</w:t>
      </w:r>
    </w:p>
    <w:p w14:paraId="51D4297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如结算价格低于基准价*结算系数，则按结算价格支付款项；如结算价格高于基准价*结算系数，则按基准价*结算系数予以支付。采购人有权抽查供应商报价是否符合本条款所列明规则。</w:t>
      </w:r>
    </w:p>
    <w:p w14:paraId="6D790291">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(四）供货时间</w:t>
      </w:r>
    </w:p>
    <w:p w14:paraId="310A17E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1.采购包1：蔬菜、</w:t>
      </w:r>
      <w:r>
        <w:rPr>
          <w:rFonts w:hint="eastAsia" w:ascii="宋体" w:hAnsi="宋体" w:eastAsia="宋体" w:cs="宋体"/>
          <w:sz w:val="21"/>
          <w:szCs w:val="21"/>
          <w:lang w:eastAsia="zh-CN"/>
        </w:rPr>
        <w:t>豆制品</w:t>
      </w:r>
      <w:r>
        <w:rPr>
          <w:rFonts w:hint="eastAsia" w:ascii="宋体" w:hAnsi="宋体" w:eastAsia="宋体" w:cs="宋体"/>
          <w:sz w:val="21"/>
          <w:szCs w:val="21"/>
        </w:rPr>
        <w:t>、</w:t>
      </w:r>
      <w:r>
        <w:rPr>
          <w:rFonts w:hint="eastAsia" w:ascii="宋体" w:hAnsi="宋体" w:eastAsia="宋体" w:cs="宋体"/>
          <w:sz w:val="21"/>
          <w:szCs w:val="21"/>
          <w:lang w:eastAsia="zh-CN"/>
        </w:rPr>
        <w:t>海鲜、冻品食材</w:t>
      </w:r>
      <w:r>
        <w:rPr>
          <w:rFonts w:hint="eastAsia" w:ascii="宋体" w:hAnsi="宋体" w:eastAsia="宋体" w:cs="宋体"/>
          <w:sz w:val="21"/>
          <w:szCs w:val="21"/>
        </w:rPr>
        <w:t>类</w:t>
      </w:r>
      <w:r>
        <w:rPr>
          <w:rFonts w:hint="eastAsia" w:ascii="宋体" w:hAnsi="宋体" w:eastAsia="宋体" w:cs="宋体"/>
          <w:sz w:val="21"/>
          <w:szCs w:val="21"/>
          <w:lang w:eastAsia="zh-CN"/>
        </w:rPr>
        <w:t>，包括蔬菜、豆制品、新鲜海产品、淡水产品，包括水产品（含鲜活海产品、冰鲜水产品、淡水产品、贝类产品）及其附件类，各种动物肉类冷冻品、各类海水产淡水产冷冻制品及其附件</w:t>
      </w:r>
      <w:r>
        <w:rPr>
          <w:rFonts w:hint="eastAsia" w:ascii="宋体" w:hAnsi="宋体" w:eastAsia="宋体" w:cs="宋体"/>
          <w:sz w:val="21"/>
          <w:szCs w:val="21"/>
        </w:rPr>
        <w:t>；下单的次日08:00之前送达指定地点。</w:t>
      </w:r>
    </w:p>
    <w:p w14:paraId="74E681BC">
      <w:pPr>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采购包2：禽蛋肉类，包括各类新鲜动物肉、禽蛋等；</w:t>
      </w:r>
      <w:r>
        <w:rPr>
          <w:rFonts w:hint="eastAsia" w:ascii="宋体" w:hAnsi="宋体" w:eastAsia="宋体" w:cs="宋体"/>
          <w:sz w:val="21"/>
          <w:szCs w:val="21"/>
        </w:rPr>
        <w:t>下单的次日08:00之前送达指定地点。</w:t>
      </w:r>
    </w:p>
    <w:p w14:paraId="79DB7205">
      <w:pPr>
        <w:pStyle w:val="22"/>
        <w:keepNext w:val="0"/>
        <w:keepLines w:val="0"/>
        <w:pageBreakBefore w:val="0"/>
        <w:kinsoku/>
        <w:wordWrap/>
        <w:overflowPunct/>
        <w:topLinePunct w:val="0"/>
        <w:autoSpaceDE/>
        <w:autoSpaceDN/>
        <w:bidi w:val="0"/>
        <w:spacing w:after="156" w:line="560" w:lineRule="exact"/>
        <w:textAlignment w:val="auto"/>
        <w:rPr>
          <w:rFonts w:hint="eastAsia" w:ascii="宋体" w:hAnsi="宋体" w:eastAsia="宋体" w:cs="宋体"/>
          <w:sz w:val="21"/>
          <w:szCs w:val="21"/>
        </w:rPr>
      </w:pPr>
      <w:r>
        <w:rPr>
          <w:rFonts w:hint="eastAsia" w:ascii="宋体" w:hAnsi="宋体" w:eastAsia="宋体" w:cs="宋体"/>
          <w:sz w:val="21"/>
          <w:szCs w:val="21"/>
        </w:rPr>
        <w:t>3.采</w:t>
      </w:r>
      <w:r>
        <w:rPr>
          <w:rFonts w:hint="eastAsia" w:ascii="宋体" w:hAnsi="宋体" w:eastAsia="宋体" w:cs="宋体"/>
          <w:kern w:val="2"/>
          <w:sz w:val="21"/>
          <w:szCs w:val="21"/>
          <w:lang w:val="en-US" w:eastAsia="zh-CN" w:bidi="ar-SA"/>
        </w:rPr>
        <w:t>购包3：调味品、食用油、干货类，包括大米、面粉、食用油、调味品、烘焙材料、水产干货、各类农产品干货等；下单的</w:t>
      </w:r>
      <w:r>
        <w:rPr>
          <w:rFonts w:hint="eastAsia" w:ascii="宋体" w:hAnsi="宋体" w:eastAsia="宋体" w:cs="宋体"/>
          <w:sz w:val="21"/>
          <w:szCs w:val="21"/>
        </w:rPr>
        <w:t>次日08:00之前送达指定地点。</w:t>
      </w:r>
    </w:p>
    <w:p w14:paraId="14F067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注：特殊情况采购、临时采购，由采购人通知中标人，中标人需协助配合完成。</w:t>
      </w:r>
    </w:p>
    <w:p w14:paraId="20E55327">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(五）质量要求</w:t>
      </w:r>
    </w:p>
    <w:p w14:paraId="2D8B4A3C">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中标人提供的所有货物必须符合《中华人民共和国食品安全法》《中华人民共和国农产品质量安全法》《中华人民共和国产品质量法》及国家行业标准的有关规定，供应的货物应留有三分之二（含）以上的保质期限且大小均匀，货物验收实行索证制度。具体要求如下：</w:t>
      </w:r>
    </w:p>
    <w:p w14:paraId="62C77F8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1.粮油、调味品类</w:t>
      </w:r>
    </w:p>
    <w:p w14:paraId="27AC2966">
      <w:pPr>
        <w:spacing w:line="360" w:lineRule="auto"/>
        <w:ind w:firstLine="420" w:firstLineChars="200"/>
        <w:rPr>
          <w:rFonts w:hint="eastAsia" w:ascii="宋体" w:hAnsi="宋体" w:eastAsia="宋体" w:cs="宋体"/>
          <w:sz w:val="21"/>
          <w:szCs w:val="21"/>
          <w:lang w:val="zh-CN"/>
        </w:rPr>
      </w:pPr>
      <w:bookmarkStart w:id="60" w:name="_Toc402290178"/>
      <w:r>
        <w:rPr>
          <w:rFonts w:hint="eastAsia" w:ascii="宋体" w:hAnsi="宋体" w:eastAsia="宋体" w:cs="宋体"/>
          <w:sz w:val="21"/>
          <w:szCs w:val="21"/>
          <w:lang w:val="zh-CN"/>
        </w:rPr>
        <w:t>1.稻米的质量检验标准</w:t>
      </w:r>
      <w:bookmarkEnd w:id="60"/>
    </w:p>
    <w:p w14:paraId="267A414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大米的品质是由多方面因素决定的，主要有大米的品种、成熟情况、含水量，主要的方法和标准是大米的外观形态及大米的存放时间长短等。综合上述因素，检验大米的品质，以其粒形、腹白、硬度及其新鲜度来确定，且应当符合大米的国家标准（GB/T1354-2018）。</w:t>
      </w:r>
    </w:p>
    <w:p w14:paraId="2BE8CD4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（1）米的粒形：以米粒形均匀、整齐、重量轻、没有碎米和爆腰米的品质为较好，相反则差。碎米是指米的体积在整粒的2/3以下的米，爆腰米为米粒上有裂纹的米，易碎、口味较差。</w:t>
      </w:r>
    </w:p>
    <w:p w14:paraId="5ADD0B9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（2）米的腹白：米粒上呈乳白色的部分叫腹白，没有腹白的米，体积小、硬度低，易碎，蛋白质含量低，品质差。</w:t>
      </w:r>
    </w:p>
    <w:p w14:paraId="4B2D20B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（3）米的硬度：米能承担机械压力的程度叫米的硬度，凡是硬度大的米品质就高。硬度小的米，品质就差，易成碎米。</w:t>
      </w:r>
    </w:p>
    <w:p w14:paraId="6530560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米的新鲜度：米的品质检验除上述三种外，对其新鲜度和卫生状况的检查是最主要的方面。新鲜的米有清香味和光泽、无米糠和其它杂物、无虫害、无异味、无霉味，用手摸时滑爽、干燥。而陈米则颜色暗淡无光、染有虫害痕迹，甚至发霉、粘连结块，煮熟食用，质感粗糙、口味差。</w:t>
      </w:r>
    </w:p>
    <w:p w14:paraId="40EAD102">
      <w:pPr>
        <w:spacing w:line="360" w:lineRule="auto"/>
        <w:ind w:firstLine="420" w:firstLineChars="200"/>
        <w:rPr>
          <w:rFonts w:hint="eastAsia" w:ascii="宋体" w:hAnsi="宋体" w:eastAsia="宋体" w:cs="宋体"/>
          <w:sz w:val="21"/>
          <w:szCs w:val="21"/>
          <w:lang w:val="zh-CN"/>
        </w:rPr>
      </w:pPr>
      <w:bookmarkStart w:id="61" w:name="_Toc402290179"/>
      <w:r>
        <w:rPr>
          <w:rFonts w:hint="eastAsia" w:ascii="宋体" w:hAnsi="宋体" w:eastAsia="宋体" w:cs="宋体"/>
          <w:sz w:val="21"/>
          <w:szCs w:val="21"/>
          <w:lang w:val="zh-CN"/>
        </w:rPr>
        <w:t>2.面粉的品质检验标准</w:t>
      </w:r>
      <w:bookmarkEnd w:id="61"/>
    </w:p>
    <w:p w14:paraId="2829D7D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面粉品质好坏有较明显的区别，主要从含水量、颜色、面筋质和新鲜度等几个方面进行品质检验。</w:t>
      </w:r>
    </w:p>
    <w:p w14:paraId="55B0F5A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（1）水分：国家规定面粉含水量在12-13%间，含水量正常的面粉用手捏有滑爽的感觉，如捏而有形不散，则含水量过多，不易存放。</w:t>
      </w:r>
    </w:p>
    <w:p w14:paraId="4B56B90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（2）面粉的颜色随着面粉加工的精度不同而不同,颜色越白精度越高,但其维生素含量低,如果保管时间过长或保管条件潮湿,面粉的颜色就会加深,品质降低。</w:t>
      </w:r>
    </w:p>
    <w:p w14:paraId="5DC541E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（3）面筋质：面筋质决定面粉品质，面筋质含量高，品质就好，但也有一定的含量标准，如果过高其它成分就相应减少，品质就不一定好。</w:t>
      </w:r>
    </w:p>
    <w:p w14:paraId="133C4F25">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（4）新鲜度，新鲜的面粉有正常气味，颜色较淡。如是带有腐败味、霉味、颜色发深的面粉已陈，如因水分过多，产生发霉、结块现象，表明已变质，新鲜程度是鉴定面粉品质的基本标准和方法。</w:t>
      </w:r>
    </w:p>
    <w:p w14:paraId="07D2CE60">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（5）中标人提供的面粉必须符合</w:t>
      </w:r>
      <w:r>
        <w:rPr>
          <w:rFonts w:hint="eastAsia" w:ascii="宋体" w:hAnsi="宋体" w:eastAsia="宋体" w:cs="宋体"/>
          <w:sz w:val="21"/>
          <w:szCs w:val="21"/>
        </w:rPr>
        <w:t>GB/T 1355-2021</w:t>
      </w:r>
      <w:r>
        <w:rPr>
          <w:rFonts w:hint="eastAsia" w:ascii="宋体" w:hAnsi="宋体" w:eastAsia="宋体" w:cs="宋体"/>
          <w:sz w:val="21"/>
          <w:szCs w:val="21"/>
          <w:lang w:val="zh-CN"/>
        </w:rPr>
        <w:t>小麦粉国家标准并拥有“SC”食品生产许可证。</w:t>
      </w:r>
    </w:p>
    <w:p w14:paraId="6B6C71F1">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特制一等：灰分(以干基计)≤0.70%；粗细度：全部通过CB36号筛，留存在CB42号筛的不超过10.0%；面筋质（以湿重计）：≥26.0%；含砂量：≤0.02%；磁性金属物≤0.003g/Kg；水分≤14.0%；脂肪酸值（以湿基计）：≤80；气味、口味：正常。</w:t>
      </w:r>
    </w:p>
    <w:p w14:paraId="24BE87B0">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特制二等：灰分(以干基计)≤0.85%；粗细度：全部通过CB30号筛，留存在CB36号筛的不超过10.0%；面筋质（以湿重计）：≥25.0%；含砂量：≤0.02%；磁性金属物≤0.003g/Kg；水分≤14.0%；脂肪酸值（以湿基计）：≤80；气味、口味：正常。</w:t>
      </w:r>
    </w:p>
    <w:p w14:paraId="56C03712">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标准粉：灰分(以干基计)≤1.10%；粗细度：全部通过CB20号筛，留存在CB30号筛的不超过20.0%；面筋质（以湿重计）：≥24.0%；含砂量：≤0.02%；磁性金属物≤0.003g/Kg；水分≤13.5%；脂肪酸值（以湿基计）：≤80；气味、口味：正常。</w:t>
      </w:r>
    </w:p>
    <w:p w14:paraId="41741B66">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普通粉：灰分(以干基计)≤1.40%；粗细度：全部通过CB20号筛；面筋质（以湿重计）：≥22.0%；含砂量：≤0.02%；磁性金属物≤0.003g/Kg；水分≤13.5%；脂肪酸值（以湿基计）：≤80；气味、口味：正常。</w:t>
      </w:r>
    </w:p>
    <w:p w14:paraId="5D243A37">
      <w:pPr>
        <w:spacing w:line="360" w:lineRule="auto"/>
        <w:ind w:firstLine="420" w:firstLineChars="200"/>
        <w:rPr>
          <w:rFonts w:hint="eastAsia" w:ascii="宋体" w:hAnsi="宋体" w:eastAsia="宋体" w:cs="宋体"/>
          <w:b w:val="0"/>
          <w:bCs w:val="0"/>
          <w:sz w:val="21"/>
          <w:szCs w:val="21"/>
          <w:lang w:val="zh-CN"/>
        </w:rPr>
      </w:pPr>
      <w:bookmarkStart w:id="62" w:name="_Toc402290180"/>
      <w:r>
        <w:rPr>
          <w:rFonts w:hint="eastAsia" w:ascii="宋体" w:hAnsi="宋体" w:eastAsia="宋体" w:cs="宋体"/>
          <w:b w:val="0"/>
          <w:bCs w:val="0"/>
          <w:sz w:val="21"/>
          <w:szCs w:val="21"/>
          <w:lang w:val="zh-CN"/>
        </w:rPr>
        <w:t>3.淀粉的品质检验标准</w:t>
      </w:r>
      <w:bookmarkEnd w:id="62"/>
    </w:p>
    <w:p w14:paraId="1E9F8D8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淀粉的品质因不同的加工原料而有差别，因此对淀粉的品质检验，除考虑其固有品质外，应从其加工纯度和是否含有其它杂质及含水量等方面来检验。纯度愈高，杂质愈少，含水量愈低，其品质愈好。</w:t>
      </w:r>
    </w:p>
    <w:p w14:paraId="3DCCEDBE">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4.禽蛋品质检验标准</w:t>
      </w:r>
    </w:p>
    <w:p w14:paraId="25640F56">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中标人提供的禽蛋应符合GB 2749国家标准。</w:t>
      </w:r>
    </w:p>
    <w:p w14:paraId="3130DAAB">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色泽：具有禽蛋固有的色泽；</w:t>
      </w:r>
    </w:p>
    <w:p w14:paraId="21324571">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组织形态：蛋壳清洁、无破裂，打开后蛋黄凸起、完整、有韧性，蛋白澄清透明、稀稠分明；</w:t>
      </w:r>
    </w:p>
    <w:p w14:paraId="7894F74E">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气味：具有货物固有的气味，无异味；</w:t>
      </w:r>
    </w:p>
    <w:p w14:paraId="530B404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杂质：无杂质，内容物不得有血块及其他组织异物。</w:t>
      </w:r>
    </w:p>
    <w:p w14:paraId="22BE81D3">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5.副食品、烘焙材料及其他类</w:t>
      </w:r>
    </w:p>
    <w:p w14:paraId="6DB55475">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所有的副食品及烘焙材料必须符合国家卫生标准和质量要求。其中调味品质量标准如下：</w:t>
      </w:r>
    </w:p>
    <w:p w14:paraId="616D389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（1）酿造酱油</w:t>
      </w:r>
    </w:p>
    <w:p w14:paraId="7D6114D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要求特级酿造酱油，按照GB 2717-2018《食品安全国家标准 酿造酱油》执行，以大豆或脱脂大豆、小麦或麸皮为主要原料经微生物发酵制成，氨基酸态氮含量≥0.80g/100ml。</w:t>
      </w:r>
    </w:p>
    <w:p w14:paraId="539A0EC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（2）酿造食醋</w:t>
      </w:r>
    </w:p>
    <w:p w14:paraId="76FDE77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要求特级酿造食醋，按照GB 2719-2018《食品安全国家标准 食醋》执行，通过粮食或水果等经酒精发酵后再醋酸发酵而成，总酸含量一般在 6.0g/100ml 以上，色泽澄清，香味浓郁，口感醇厚。</w:t>
      </w:r>
    </w:p>
    <w:p w14:paraId="367C81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（3）味精</w:t>
      </w:r>
    </w:p>
    <w:p w14:paraId="4974AF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按照《食品安全国家标准 味精》（GB 2720-2015）规定执行，味精的谷氨酸钠含量不得低于 99%，并且不允许存在有害杂质。</w:t>
      </w:r>
    </w:p>
    <w:p w14:paraId="2E443DD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（4）食用盐</w:t>
      </w:r>
    </w:p>
    <w:p w14:paraId="55D983A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按照《食品安全国家标准 食用盐》（GB 2721-2015）规定执行，食用盐的外观、粒度、水分、碘含量、杂质含量等指标符合标准。</w:t>
      </w:r>
    </w:p>
    <w:p w14:paraId="1109A4D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（5）鸡精调味料</w:t>
      </w:r>
    </w:p>
    <w:p w14:paraId="5BD89ED4">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按照SB/T 10371-2003《鸡精调味料》执行，鸡精的感官、理化、微生物等指标，谷氨酸钠、呈味核苷酸二钠等成分的含量符合标准。</w:t>
      </w:r>
    </w:p>
    <w:p w14:paraId="506FC4F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.食用油类</w:t>
      </w:r>
    </w:p>
    <w:p w14:paraId="1C13A46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大豆油质量标准按照GB/T 1535-2017《大豆油》执行，菜籽油的质量标准按照 GB/T 1536-2021《菜籽油》执行，具有大豆原油和菜籽原油固有的气味和滋味，无异味，整体澄清透明。此外，不得掺有其它食用油和非食用油，不得添加任何香精和香料，不接受转基因食用油。</w:t>
      </w:r>
    </w:p>
    <w:p w14:paraId="015BAD4F">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w:t>
      </w:r>
      <w:r>
        <w:rPr>
          <w:rFonts w:hint="eastAsia" w:ascii="宋体" w:hAnsi="宋体" w:eastAsia="宋体" w:cs="宋体"/>
          <w:sz w:val="21"/>
          <w:szCs w:val="21"/>
        </w:rPr>
        <w:t>.</w:t>
      </w:r>
      <w:r>
        <w:rPr>
          <w:rFonts w:hint="eastAsia" w:ascii="宋体" w:hAnsi="宋体" w:eastAsia="宋体" w:cs="宋体"/>
          <w:sz w:val="21"/>
          <w:szCs w:val="21"/>
          <w:lang w:val="zh-CN"/>
        </w:rPr>
        <w:t>蔬菜、水果类：</w:t>
      </w:r>
    </w:p>
    <w:p w14:paraId="03D64794">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1.</w:t>
      </w:r>
      <w:r>
        <w:rPr>
          <w:rFonts w:hint="eastAsia" w:ascii="宋体" w:hAnsi="宋体" w:eastAsia="宋体" w:cs="宋体"/>
          <w:sz w:val="21"/>
          <w:szCs w:val="21"/>
        </w:rPr>
        <w:t>蔬菜</w:t>
      </w:r>
    </w:p>
    <w:p w14:paraId="0A329708">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中标人提供的必须是新鲜蔬菜，质量必须符合国家食品卫生管理相关标准及法规要求：</w:t>
      </w:r>
    </w:p>
    <w:p w14:paraId="08D31AD4">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1</w:t>
      </w:r>
      <w:r>
        <w:rPr>
          <w:rFonts w:hint="eastAsia" w:ascii="宋体" w:hAnsi="宋体" w:eastAsia="宋体" w:cs="宋体"/>
          <w:sz w:val="21"/>
          <w:szCs w:val="21"/>
          <w:lang w:val="zh-CN"/>
        </w:rPr>
        <w:t>）农药残留不得超过《食品中农药最大残留限量》（GB2763）国家标准；</w:t>
      </w:r>
    </w:p>
    <w:p w14:paraId="2E8F066E">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2</w:t>
      </w:r>
      <w:r>
        <w:rPr>
          <w:rFonts w:hint="eastAsia" w:ascii="宋体" w:hAnsi="宋体" w:eastAsia="宋体" w:cs="宋体"/>
          <w:sz w:val="21"/>
          <w:szCs w:val="21"/>
          <w:lang w:val="zh-CN"/>
        </w:rPr>
        <w:t>）不得提供腐烂变质、黄叶、烂叶及带泥巴的蔬菜；</w:t>
      </w:r>
    </w:p>
    <w:p w14:paraId="7A75F8B2">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3</w:t>
      </w:r>
      <w:r>
        <w:rPr>
          <w:rFonts w:hint="eastAsia" w:ascii="宋体" w:hAnsi="宋体" w:eastAsia="宋体" w:cs="宋体"/>
          <w:sz w:val="21"/>
          <w:szCs w:val="21"/>
          <w:lang w:val="zh-CN"/>
        </w:rPr>
        <w:t>）蔬菜外表不得人为喷洒水分和有过多的虫孔；</w:t>
      </w:r>
    </w:p>
    <w:p w14:paraId="56E9670E">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w:t>
      </w:r>
      <w:r>
        <w:rPr>
          <w:rFonts w:hint="eastAsia" w:ascii="宋体" w:hAnsi="宋体" w:eastAsia="宋体" w:cs="宋体"/>
          <w:sz w:val="21"/>
          <w:szCs w:val="21"/>
        </w:rPr>
        <w:t>4</w:t>
      </w:r>
      <w:r>
        <w:rPr>
          <w:rFonts w:hint="eastAsia" w:ascii="宋体" w:hAnsi="宋体" w:eastAsia="宋体" w:cs="宋体"/>
          <w:sz w:val="21"/>
          <w:szCs w:val="21"/>
          <w:lang w:val="zh-CN"/>
        </w:rPr>
        <w:t>）不得提供过长的菜头和菜根；</w:t>
      </w:r>
    </w:p>
    <w:p w14:paraId="6D43075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（5）当季当地和农家有机蔬菜优先</w:t>
      </w:r>
      <w:r>
        <w:rPr>
          <w:rFonts w:hint="eastAsia" w:ascii="宋体" w:hAnsi="宋体" w:eastAsia="宋体" w:cs="宋体"/>
          <w:sz w:val="21"/>
          <w:szCs w:val="21"/>
          <w:lang w:val="zh-CN"/>
        </w:rPr>
        <w:t>；</w:t>
      </w:r>
    </w:p>
    <w:p w14:paraId="20483C97">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2.水果</w:t>
      </w:r>
    </w:p>
    <w:p w14:paraId="06EADCCA">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中标人提供的必须是新鲜水果，质量必须符合国家食品卫生管理相关标准及法规要求：</w:t>
      </w:r>
    </w:p>
    <w:p w14:paraId="2FE663BB">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（1）农药残留不得超过《食品中农药最大残留限量》（GB2763）国家标准；</w:t>
      </w:r>
    </w:p>
    <w:p w14:paraId="5271BA8A">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（2）果形端正，大小均匀，无畸形果，带果柄，果实无萎焉； </w:t>
      </w:r>
    </w:p>
    <w:p w14:paraId="25EAD4DC">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（3）果面新鲜洁净，无刺划伤，无压痕，无病虫害，无病斑，无腐烂；</w:t>
      </w:r>
    </w:p>
    <w:p w14:paraId="6D9C6D10">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 xml:space="preserve"> （4）口感正常，具有水果特有的风味；</w:t>
      </w:r>
    </w:p>
    <w:p w14:paraId="6CE64AFC">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（5）中标人每批蔬菜、水果必须出具一份农药残留检测报告。</w:t>
      </w:r>
    </w:p>
    <w:p w14:paraId="346CB5AE">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2</w:t>
      </w:r>
      <w:r>
        <w:rPr>
          <w:rFonts w:hint="eastAsia" w:ascii="宋体" w:hAnsi="宋体" w:eastAsia="宋体" w:cs="宋体"/>
          <w:sz w:val="21"/>
          <w:szCs w:val="21"/>
          <w:lang w:val="zh-CN"/>
        </w:rPr>
        <w:t>.新鲜肉类、新鲜水产品类等：</w:t>
      </w:r>
    </w:p>
    <w:p w14:paraId="4AD7E73B">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猪、牛、羊、鸡、鸭等鲜肉类及其制品，海水产的鱼、虾、贝、蟹、藻、头足等鲜水货物类及其制品。</w:t>
      </w:r>
    </w:p>
    <w:p w14:paraId="68D48D93">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中标人提供的猪、牛、羊、鸡、鸭等新鲜肉类必须符合GB2707、GB16869国家标准，且要求热鲜肉，不接受冷冻肉。每批次猪、牛、羊、鸡、鸭等新鲜肉类必须提供动物货物检验检疫合格证明，且符合食品卫生相关标准及法规要求。</w:t>
      </w:r>
    </w:p>
    <w:p w14:paraId="4D296161">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（1）猪、牛、羊等新鲜肉类:无异味、无酸败味；</w:t>
      </w:r>
    </w:p>
    <w:p w14:paraId="1B789455">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（2）鸡、鸭等新鲜肉类：表皮和肌肉切面有光泽，具有禽类品种应有的气味，无异味。</w:t>
      </w:r>
    </w:p>
    <w:p w14:paraId="05C44CA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中标人提供的鱼、虾、贝、蟹、藻、头足等新鲜水货物类必须符合GB 2733国家标准，</w:t>
      </w:r>
      <w:r>
        <w:rPr>
          <w:rFonts w:hint="eastAsia" w:ascii="宋体" w:hAnsi="宋体" w:eastAsia="宋体" w:cs="宋体"/>
          <w:sz w:val="21"/>
          <w:szCs w:val="21"/>
          <w:lang w:val="zh-CN"/>
        </w:rPr>
        <w:t>保持新鲜；</w:t>
      </w:r>
      <w:r>
        <w:rPr>
          <w:rFonts w:hint="eastAsia" w:ascii="宋体" w:hAnsi="宋体" w:eastAsia="宋体" w:cs="宋体"/>
          <w:sz w:val="21"/>
          <w:szCs w:val="21"/>
        </w:rPr>
        <w:t>泥海螺、河海蟹、海螃蟆、河海虾、淡海水贝类必须鲜活，且符合食品卫生相关标准及法规要求。</w:t>
      </w:r>
    </w:p>
    <w:p w14:paraId="79C7F961">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zh-CN"/>
        </w:rPr>
        <w:t>冻品、干货等：</w:t>
      </w:r>
    </w:p>
    <w:p w14:paraId="09A4BD27">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1.海淡水类冷冻品包含鱼、虾、贝、蟹、藻、头足等冻水货物类及其制品。中标人提供的鱼、虾、贝、蟹、藻、头足等冻水货物类必须符合GB 2733国家标准。泥海螺、河海蟹、海螃蟆、河海虾、淡海水贝类必须新鲜急冻，且符合食品卫生相关标准及法规要求。</w:t>
      </w:r>
    </w:p>
    <w:p w14:paraId="63C58EBA">
      <w:pPr>
        <w:spacing w:line="360"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2.</w:t>
      </w:r>
      <w:r>
        <w:rPr>
          <w:rFonts w:hint="eastAsia" w:ascii="宋体" w:hAnsi="宋体" w:eastAsia="宋体" w:cs="宋体"/>
          <w:sz w:val="21"/>
          <w:szCs w:val="21"/>
          <w:lang w:val="zh-CN"/>
        </w:rPr>
        <w:t>几种主要干货制品的质量标准</w:t>
      </w:r>
    </w:p>
    <w:p w14:paraId="25F1945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（1）肉皮：作为干肉皮，无论什么部位，体表洁净无毛，白亮无残余肥膘，无虫蛀，干爽，敲击时响声清脆，质量均匀为好，反之则为次之，如已发霉，并有哈喇味，即已变质。</w:t>
      </w:r>
    </w:p>
    <w:p w14:paraId="0BA96C3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（2）玉兰片：玉兰片以色泽黄白、洁净、肉厚、纤维少、节较密、体长不超过10-17CM的为最好，肉薄节疏、纤维多而粗老的质量较差。</w:t>
      </w:r>
    </w:p>
    <w:p w14:paraId="1E9B395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（3）黄花菜：又名金针菜，干燥、有清香味，菜色黄亮，身条长而粗壮，条杆粗细均匀者为佳。</w:t>
      </w:r>
    </w:p>
    <w:p w14:paraId="018B6D8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（4）黑木耳：黑木耳的质量一般以条形大而完整，耳瓣舒展少卷曲，内厚黑，富于光泽，体干不霉，无杂质和碎者为优，反之则差。</w:t>
      </w:r>
    </w:p>
    <w:p w14:paraId="6206351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银耳：银耳又称白木耳，以朵大、色洁白、有光泽，无杂质，根小,干度足，完整者为佳品，朵小、色黄、根大、无光泽，散碎者次之；黄黑色者质量最次，依上述标准可将银耳分为上中下三等。质量好的银耳，根部易酥烂，食之柔软，质量次则根部大而发硬。</w:t>
      </w:r>
    </w:p>
    <w:p w14:paraId="646D14B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（6）香菇：根据采收季节和形状不同，香菇又分为花菇、厚菇、薄茹和菇丁四类，其中以花菇质量最好，厚茹次之，薄菇再次之，菇丁质量最差，本项目采购的为花菇或厚菇，并在当日采购清单上进行明确。</w:t>
      </w:r>
    </w:p>
    <w:p w14:paraId="14AA9BC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A、花菇：朵小柄短，呈半球状，菇伞顶面有似菊花似的白色裂纹，肉厚、菌盖色泽淡黑，菇底褶，通过加工呈淡黄色，身干、质嫩、有芳香气味者为质好香菇。</w:t>
      </w:r>
    </w:p>
    <w:p w14:paraId="4A99EF96">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B、厚菇：形状如伞，顶面无花纹，呈黑色并略有光泽，质嫩、肉厚、朵稍大，质量稍次。</w:t>
      </w:r>
    </w:p>
    <w:p w14:paraId="0B6EACA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C、薄菇：形状扁平、开伞、朵大、肉薄、菌盖表面浅褐色，菌褶白色，菌柄稍高，浅咖啡色，基部稍带红色或红褐色，质量比花菇厚，味淡。</w:t>
      </w:r>
    </w:p>
    <w:p w14:paraId="56BC994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D、菇丁：是指未充分发育的香菇,个小,直径在2CM以下,味淡质差。</w:t>
      </w:r>
    </w:p>
    <w:p w14:paraId="40F1D1A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（7）腐竹：腐竹又名豆腐皮和油皮，有一、二、三级品之分，本项目所采购的均为一级品。</w:t>
      </w:r>
    </w:p>
    <w:p w14:paraId="17FEDA8E">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一级品：色泽黄亮、干燥筋韧、耐贮、无碎块。</w:t>
      </w:r>
    </w:p>
    <w:p w14:paraId="56C8134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二级品：颜色较一级品灰黄，干燥无碎块。</w:t>
      </w:r>
    </w:p>
    <w:p w14:paraId="6A4909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三级品：颜色更灰黄、无光泽、易碎、筋韧性差。</w:t>
      </w:r>
    </w:p>
    <w:p w14:paraId="1FC8E79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（8）粉丝：质量好的粉丝，粉条细长、白净、晶莹透明、丝条均匀、整齐、干燥，不易折断，无斑点、黑迹，无霉变，有粉丝特有的光泽。</w:t>
      </w:r>
    </w:p>
    <w:p w14:paraId="29FBE08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（9）干贝：上等干贝粒大完整、黄亮干燥、肉质结饱满，肉丝清晰、粗且有特殊香气。粒小、碎破、色淡无光泽者较次。破碎、发黑发霉的为变质品。</w:t>
      </w:r>
    </w:p>
    <w:p w14:paraId="5122CD2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鱿鱼：市场上常见的鱿鱼有椭圆形和长形，选购时应注意：体干、体形完整、光亮洁净、淡粉红色、片大头小、肉厚者为优。体形部分蜷曲，尾部和背部红中透暗，两侧有微红点、体小而宽、肉薄者为次品。</w:t>
      </w:r>
    </w:p>
    <w:p w14:paraId="0F2DA82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（11）紫菜：紫菜属海产红藻类植物，因鲜紫菜叶较宽大，经干制成长方块形，散片状卷筒，其中以卷筒形柔嫩微脆、叶薄、色紫清香鲜美的为品质最优。</w:t>
      </w:r>
    </w:p>
    <w:p w14:paraId="5F98C19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（12）鱼肚：其标准一般为体大整齐、肚厚、身干、光洁明亮、无虫蛀腐者好；灰暗、肉薄、体小则次之，有虫蛀、颜色发黑、变霉则为变质品。</w:t>
      </w:r>
    </w:p>
    <w:p w14:paraId="4B442BA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（六）验收要求及售后服务</w:t>
      </w:r>
    </w:p>
    <w:p w14:paraId="29B5172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1.中标人应按采购人订单规定的品种及要求供应所需货物，货物短缺时须在采购人规定时间内调配补齐所缺品种。若要更换品种须经采购人同意后方可更换。</w:t>
      </w:r>
    </w:p>
    <w:p w14:paraId="34D4BE7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采购人有权对不符合质量要求的货物予以退货或要求换货，采购人要求换货或补货的，应由中标人重新供货直至合格，有关供货再行验收，以及给采购人造成的一切损失及费用由中标人承担。连续两次供货验收不合格的，采购人可立即终止合同，采购人有权另行采购所需货物，由此带来的一切损失及费用由中标人承担。</w:t>
      </w:r>
    </w:p>
    <w:p w14:paraId="61AF059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3.货物送至采购人指定交货地点后，中标人应安排专人在采购人指定地点配合称重及验收，由采购人对货物进行验收并签字确认。</w:t>
      </w:r>
    </w:p>
    <w:p w14:paraId="00CFB96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质量要求：中标人必须按照合同质量要求提供货物，所提供的货物要求为非转基因产品，同时须符合《食品安全法》、《动物检疫法》、《国家食品卫生标准》等相关规定，且具有质量体系认证标志，保证卫生安全，禁止配送国家法律、法规、规章规定的禁止生产或者不符合食品安全标准的食材，不得短斤少两、以次充好。每批次肉类、家禽类须提供当天或本批次政府市场检疫检测部门出具的检疫合格证明原件或复印件；乳制品、饮料要本批次的检测证明；果蔬需提供农药残留化验单等证明材料；进口冷链商品须提供“四证”：海关报关单、海关检验检疫合格证、消毒证；冻品应在化冰环境要求下，发现质量问题中标人核实后应予退货；有外包装食材要求外包装完好无损，印刷字迹清楚、规范，并注明品名、规格、数量、生产日期、保质期、SC标志等。</w:t>
      </w:r>
    </w:p>
    <w:p w14:paraId="4111485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数量、重量要求：货物重量若有标准件按标准件抽样称重，并按抽样重量计算，没有标准件按实际过磅重量计算；中标人供货的过磅货物数量不低于或高于订单采购货物的5%，超出采购数量部分不予结算，缺少部分中标人须于货物到达采购人指定地点1小时之内按订单的所列数量补齐。</w:t>
      </w:r>
    </w:p>
    <w:p w14:paraId="2B277B0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退换货要求：中标人所送货物与采购人订单或合同要求不符时或货物送达之前被损坏，经双方确认后中标人须接受免费提供包换、包退服务，并应在接到采购人通知后1小时之内，将换货货物送达且搬运至采购人指定地点替换原有不符或被损坏的货物。</w:t>
      </w:r>
    </w:p>
    <w:p w14:paraId="40A2F37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7.应急保障要求：中标人应提供自然灾害、公共卫生事件、停水、停电、防疫等特殊情况下供应物资应急预备方案。</w:t>
      </w:r>
    </w:p>
    <w:p w14:paraId="40D5590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中标人应接受采购人的意见及时进行整改，遵守采购人管理的有关规定，满足采购人的需求。中标人在收到采购人的整改函未能及时整改超过2次，采购人有权立即终止合同，并另行采购所需货物，由此带来的一切损失及费用由中标人承担。</w:t>
      </w:r>
    </w:p>
    <w:p w14:paraId="361B2A1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9.抽查发现食品安全质量问题的处理：</w:t>
      </w:r>
    </w:p>
    <w:p w14:paraId="50A5AEA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对危及人身安全的食品质量问题采取零容忍措施，一经发现，当日所送同批次产品全部退货，如水产品中发现河豚鱼或发现腐败变质肉类等，中标人承担由此造成的经济损失，采购人有权追究中标人责任，采购人有权立即终止合同。并另行采购所需货物，由此带来的一切损失及费用由中标人承担。</w:t>
      </w:r>
    </w:p>
    <w:p w14:paraId="7D5FB74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（2）若抽查未发现问题，而在加工食用前发现部分产品质量问题，应立即通知采购人使用单位伙食物资验收小组及投标人，将问题产品退货处理。 </w:t>
      </w:r>
    </w:p>
    <w:p w14:paraId="0ABA9BA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（3）抽查发现资质证照不全问题的处理： </w:t>
      </w:r>
    </w:p>
    <w:p w14:paraId="450C20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畜禽冻肉类整批产品无政府部门出具的动植物检疫合格证明的全部退货； </w:t>
      </w:r>
    </w:p>
    <w:p w14:paraId="3418BBC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发现部分畜禽冻肉类产品无政府部门出具的动植物检疫合格证明，全部退货； </w:t>
      </w:r>
    </w:p>
    <w:p w14:paraId="05FEAB4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整批产品有省地市出具的动植物检疫合格证明，随箱产品合格证不齐全的，全部退货； </w:t>
      </w:r>
    </w:p>
    <w:p w14:paraId="0FB858E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（4）发现私宰肉或伪造相关证明文件的处理：采购人有权立即终止合同，并另行采购所需货物，由此带来的一切损失及费用由中标人承担。</w:t>
      </w:r>
    </w:p>
    <w:p w14:paraId="3A4450F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10.退（补）货流程 ：</w:t>
      </w:r>
    </w:p>
    <w:p w14:paraId="6688FC1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对不符合质量要求的货物由采购人使用单位验收人员提出清退，如双方对质量或重量有争议的可送具有检验资质的部门检测，同时留样备检，对数量不足或部分退货的，则中标人以不影响肉类供应为前提尽快补送。在退货过程中，对有碍公共卫生安全的食品，应按国家有关规定处理或进行协议销毁，不退货给中标人。 </w:t>
      </w:r>
    </w:p>
    <w:p w14:paraId="48B3CA8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11.验收记录 ：</w:t>
      </w:r>
    </w:p>
    <w:p w14:paraId="436D642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对每次验收的货物均记录货物名称、数量、验收情况等事项，并由送货人签名确认。</w:t>
      </w:r>
    </w:p>
    <w:p w14:paraId="66EB88B7">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备注：本项目所涉及到的国家标准及行业标准，按现行有效标准执行，如遇国家有关标准调整，则按新标准执行。</w:t>
      </w:r>
    </w:p>
    <w:p w14:paraId="3241783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本次采购用量只是根据往年使用量测算得出的预估用量，实际采购用量有可能低于此预估数，当实际采购用量低于预估用量时，供应商不得要求采购人按预估用量结算。参与投标的供应商应知悉该情况并自行承担采购量低于预估量的风险。</w:t>
      </w:r>
    </w:p>
    <w:p w14:paraId="459C624F">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13.采购人如有特殊情况和临时补货，中标人在接到采购人供货通知后于1小时内，按采购人通知的品种、数量、规格等需求送达。中标人负责食材的装卸、运输以及搬运至指定地点，所需费用由中标人承担。</w:t>
      </w:r>
    </w:p>
    <w:p w14:paraId="428F08D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如在采购需求过程中即中标人无法提供货物或提供的货物品质不符合采购人要求或无法满足食品安全要求或因价格因素不满足采购人要求的，采购人有权自行采购，并由中标人承担由此产生的一切损失和费用。中标人中标以后对于非中标人主观原因导致无法提供的货物，中标人需向采购人提供书面证明材料。</w:t>
      </w:r>
    </w:p>
    <w:p w14:paraId="2E4F560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15.中标人配送的食材不得来自因疫情、环境污染等因素存在潜在食品安全风险的高危地区。</w:t>
      </w:r>
    </w:p>
    <w:p w14:paraId="04E8808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16.配送时间：采购包1、2、3食材应在每日08:00前送达且搬运至采购人指定地点，需冷藏运输食材须采用冷链配送车辆配送（如遇特殊情况，采购人可以改变送货时间，但应提前通知供应商）。</w:t>
      </w:r>
    </w:p>
    <w:p w14:paraId="0C09CE1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配送地点：国家税务总局三明市</w:t>
      </w:r>
      <w:r>
        <w:rPr>
          <w:rFonts w:hint="eastAsia" w:ascii="宋体" w:hAnsi="宋体" w:eastAsia="宋体" w:cs="宋体"/>
          <w:sz w:val="21"/>
          <w:szCs w:val="21"/>
          <w:lang w:eastAsia="zh-CN"/>
        </w:rPr>
        <w:t>三元区</w:t>
      </w:r>
      <w:r>
        <w:rPr>
          <w:rFonts w:hint="eastAsia" w:ascii="宋体" w:hAnsi="宋体" w:eastAsia="宋体" w:cs="宋体"/>
          <w:sz w:val="21"/>
          <w:szCs w:val="21"/>
        </w:rPr>
        <w:t>税务局机关食堂。具体以采购人要求为准。</w:t>
      </w:r>
    </w:p>
    <w:p w14:paraId="7EA7CBB0">
      <w:pPr>
        <w:numPr>
          <w:ilvl w:val="0"/>
          <w:numId w:val="2"/>
        </w:num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投标人投标报价应是完成本项目全部工作内容的价格体现，包括但不限于产品生产、运输、冷藏、搬运；人工费；从业人员的服装；工具费用；人身意外伤害费用；责任风险费用；加班工资、高温补贴等；过年、过节等福利费用；管理费；税收；安全费用以及国家规定的各项税费等一切费用，投标人不得再向采购人主张任何费用。</w:t>
      </w:r>
    </w:p>
    <w:p w14:paraId="0E791788">
      <w:pPr>
        <w:pStyle w:val="2"/>
        <w:numPr>
          <w:ilvl w:val="0"/>
          <w:numId w:val="0"/>
        </w:numPr>
        <w:rPr>
          <w:rFonts w:hint="eastAsia"/>
        </w:rPr>
      </w:pPr>
      <w:r>
        <w:rPr>
          <w:rFonts w:hint="eastAsia" w:asciiTheme="minorEastAsia" w:hAnsiTheme="minorEastAsia" w:eastAsiaTheme="minorEastAsia" w:cstheme="minorEastAsia"/>
          <w:b/>
          <w:bCs/>
          <w:color w:val="auto"/>
          <w:sz w:val="20"/>
          <w:szCs w:val="20"/>
          <w:lang w:val="en-US" w:eastAsia="zh-CN"/>
        </w:rPr>
        <w:t>注：</w:t>
      </w:r>
      <w:r>
        <w:rPr>
          <w:rFonts w:hint="eastAsia" w:asciiTheme="minorEastAsia" w:hAnsiTheme="minorEastAsia" w:eastAsiaTheme="minorEastAsia" w:cstheme="minorEastAsia"/>
          <w:b/>
          <w:bCs/>
          <w:color w:val="auto"/>
          <w:sz w:val="20"/>
          <w:szCs w:val="20"/>
        </w:rPr>
        <w:t>以上所有条件的内容均为不允许负偏离的实质性要求，若有负偏离或未响应的均按无效投标处理。</w:t>
      </w:r>
    </w:p>
    <w:p w14:paraId="0D279A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黑体" w:hAnsi="黑体" w:eastAsia="黑体" w:cs="黑体"/>
          <w:color w:val="auto"/>
          <w:highlight w:val="none"/>
          <w:lang w:val="en-US" w:eastAsia="zh-CN"/>
        </w:rPr>
      </w:pPr>
      <w:r>
        <w:rPr>
          <w:rFonts w:hint="eastAsia" w:ascii="黑体" w:hAnsi="黑体" w:eastAsia="黑体" w:cs="黑体"/>
          <w:color w:val="auto"/>
          <w:highlight w:val="none"/>
        </w:rPr>
        <w:t>三、商务要求</w:t>
      </w:r>
      <w:bookmarkEnd w:id="58"/>
      <w:bookmarkEnd w:id="59"/>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0"/>
        <w:gridCol w:w="1684"/>
        <w:gridCol w:w="6368"/>
      </w:tblGrid>
      <w:tr w14:paraId="0AB29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53B68CF8">
            <w:pPr>
              <w:pStyle w:val="20"/>
              <w:spacing w:line="360" w:lineRule="auto"/>
              <w:jc w:val="both"/>
              <w:rPr>
                <w:rFonts w:ascii="宋体" w:hAnsi="宋体" w:cs="宋体"/>
                <w:sz w:val="21"/>
                <w:szCs w:val="21"/>
              </w:rPr>
            </w:pPr>
            <w:r>
              <w:rPr>
                <w:rFonts w:ascii="宋体" w:hAnsi="宋体" w:cs="宋体"/>
                <w:sz w:val="21"/>
                <w:szCs w:val="21"/>
              </w:rPr>
              <w:t>序号</w:t>
            </w:r>
          </w:p>
        </w:tc>
        <w:tc>
          <w:tcPr>
            <w:tcW w:w="1684" w:type="dxa"/>
            <w:noWrap w:val="0"/>
            <w:vAlign w:val="top"/>
          </w:tcPr>
          <w:p w14:paraId="3C57CBDD">
            <w:pPr>
              <w:pStyle w:val="20"/>
              <w:spacing w:line="360" w:lineRule="auto"/>
              <w:jc w:val="both"/>
              <w:rPr>
                <w:rFonts w:ascii="宋体" w:hAnsi="宋体" w:cs="宋体"/>
                <w:sz w:val="21"/>
                <w:szCs w:val="21"/>
              </w:rPr>
            </w:pPr>
            <w:r>
              <w:rPr>
                <w:rFonts w:ascii="宋体" w:hAnsi="宋体" w:cs="宋体"/>
                <w:sz w:val="21"/>
                <w:szCs w:val="21"/>
              </w:rPr>
              <w:t>类型</w:t>
            </w:r>
          </w:p>
        </w:tc>
        <w:tc>
          <w:tcPr>
            <w:tcW w:w="6368" w:type="dxa"/>
            <w:noWrap w:val="0"/>
            <w:vAlign w:val="top"/>
          </w:tcPr>
          <w:p w14:paraId="623ECB62">
            <w:pPr>
              <w:pStyle w:val="20"/>
              <w:spacing w:line="360" w:lineRule="auto"/>
              <w:jc w:val="center"/>
              <w:rPr>
                <w:rFonts w:ascii="宋体" w:hAnsi="宋体" w:cs="宋体"/>
                <w:sz w:val="21"/>
                <w:szCs w:val="21"/>
              </w:rPr>
            </w:pPr>
            <w:r>
              <w:rPr>
                <w:rFonts w:ascii="宋体" w:hAnsi="宋体" w:cs="宋体"/>
                <w:sz w:val="21"/>
                <w:szCs w:val="21"/>
              </w:rPr>
              <w:t>要求</w:t>
            </w:r>
          </w:p>
        </w:tc>
      </w:tr>
      <w:tr w14:paraId="1C024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22DF2435">
            <w:pPr>
              <w:pStyle w:val="20"/>
              <w:spacing w:line="360" w:lineRule="auto"/>
              <w:jc w:val="both"/>
              <w:rPr>
                <w:rFonts w:ascii="宋体" w:hAnsi="宋体" w:cs="宋体"/>
                <w:sz w:val="21"/>
                <w:szCs w:val="21"/>
              </w:rPr>
            </w:pPr>
            <w:r>
              <w:rPr>
                <w:rFonts w:ascii="宋体" w:hAnsi="宋体" w:cs="宋体"/>
                <w:sz w:val="21"/>
                <w:szCs w:val="21"/>
              </w:rPr>
              <w:t>1</w:t>
            </w:r>
          </w:p>
        </w:tc>
        <w:tc>
          <w:tcPr>
            <w:tcW w:w="1684" w:type="dxa"/>
            <w:noWrap w:val="0"/>
            <w:vAlign w:val="top"/>
          </w:tcPr>
          <w:p w14:paraId="2C59EEA4">
            <w:pPr>
              <w:pStyle w:val="20"/>
              <w:spacing w:line="360" w:lineRule="auto"/>
              <w:jc w:val="both"/>
              <w:rPr>
                <w:rFonts w:ascii="宋体" w:hAnsi="宋体" w:cs="宋体"/>
                <w:sz w:val="21"/>
                <w:szCs w:val="21"/>
              </w:rPr>
            </w:pPr>
            <w:r>
              <w:rPr>
                <w:rFonts w:ascii="宋体" w:hAnsi="宋体" w:cs="宋体"/>
                <w:sz w:val="21"/>
                <w:szCs w:val="21"/>
              </w:rPr>
              <w:t>交付时间</w:t>
            </w:r>
          </w:p>
        </w:tc>
        <w:tc>
          <w:tcPr>
            <w:tcW w:w="6368" w:type="dxa"/>
            <w:noWrap w:val="0"/>
            <w:vAlign w:val="top"/>
          </w:tcPr>
          <w:p w14:paraId="6CA3AC90">
            <w:pPr>
              <w:pStyle w:val="20"/>
              <w:spacing w:line="360" w:lineRule="auto"/>
              <w:jc w:val="both"/>
              <w:rPr>
                <w:rFonts w:ascii="宋体" w:hAnsi="宋体" w:cs="宋体"/>
                <w:sz w:val="21"/>
                <w:szCs w:val="21"/>
              </w:rPr>
            </w:pPr>
            <w:r>
              <w:rPr>
                <w:rFonts w:ascii="宋体" w:hAnsi="宋体" w:cs="宋体"/>
                <w:sz w:val="21"/>
                <w:szCs w:val="21"/>
                <w:lang w:val="en"/>
              </w:rPr>
              <w:t>本项目采取一年一招、合同一年一签、按月支付的方式，合同期限自合同生效之日起12个月。</w:t>
            </w:r>
          </w:p>
        </w:tc>
      </w:tr>
      <w:tr w14:paraId="325E4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19600C56">
            <w:pPr>
              <w:pStyle w:val="20"/>
              <w:spacing w:line="360" w:lineRule="auto"/>
              <w:jc w:val="both"/>
              <w:rPr>
                <w:rFonts w:ascii="宋体" w:hAnsi="宋体" w:cs="宋体"/>
                <w:sz w:val="21"/>
                <w:szCs w:val="21"/>
              </w:rPr>
            </w:pPr>
            <w:r>
              <w:rPr>
                <w:rFonts w:ascii="宋体" w:hAnsi="宋体" w:cs="宋体"/>
                <w:sz w:val="21"/>
                <w:szCs w:val="21"/>
              </w:rPr>
              <w:t>2</w:t>
            </w:r>
          </w:p>
        </w:tc>
        <w:tc>
          <w:tcPr>
            <w:tcW w:w="1684" w:type="dxa"/>
            <w:noWrap w:val="0"/>
            <w:vAlign w:val="top"/>
          </w:tcPr>
          <w:p w14:paraId="0BE634B4">
            <w:pPr>
              <w:pStyle w:val="20"/>
              <w:spacing w:line="360" w:lineRule="auto"/>
              <w:jc w:val="both"/>
              <w:rPr>
                <w:rFonts w:ascii="宋体" w:hAnsi="宋体" w:cs="宋体"/>
                <w:sz w:val="21"/>
                <w:szCs w:val="21"/>
              </w:rPr>
            </w:pPr>
            <w:r>
              <w:rPr>
                <w:rFonts w:ascii="宋体" w:hAnsi="宋体" w:cs="宋体"/>
                <w:sz w:val="21"/>
                <w:szCs w:val="21"/>
              </w:rPr>
              <w:t>交付条件</w:t>
            </w:r>
          </w:p>
        </w:tc>
        <w:tc>
          <w:tcPr>
            <w:tcW w:w="6368" w:type="dxa"/>
            <w:noWrap w:val="0"/>
            <w:vAlign w:val="top"/>
          </w:tcPr>
          <w:p w14:paraId="6ADF7391">
            <w:pPr>
              <w:pStyle w:val="20"/>
              <w:spacing w:line="360" w:lineRule="auto"/>
              <w:jc w:val="both"/>
              <w:rPr>
                <w:rFonts w:ascii="宋体" w:hAnsi="宋体" w:cs="宋体"/>
                <w:sz w:val="21"/>
                <w:szCs w:val="21"/>
              </w:rPr>
            </w:pPr>
            <w:r>
              <w:rPr>
                <w:rFonts w:ascii="宋体" w:hAnsi="宋体" w:cs="宋体"/>
                <w:sz w:val="21"/>
                <w:szCs w:val="21"/>
              </w:rPr>
              <w:t>经采购人验收合格</w:t>
            </w:r>
          </w:p>
        </w:tc>
      </w:tr>
      <w:tr w14:paraId="6CA2B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13606D05">
            <w:pPr>
              <w:pStyle w:val="20"/>
              <w:spacing w:line="360" w:lineRule="auto"/>
              <w:jc w:val="both"/>
              <w:rPr>
                <w:rFonts w:ascii="宋体" w:hAnsi="宋体" w:cs="宋体"/>
                <w:sz w:val="21"/>
                <w:szCs w:val="21"/>
              </w:rPr>
            </w:pPr>
            <w:r>
              <w:rPr>
                <w:rFonts w:ascii="宋体" w:hAnsi="宋体" w:cs="宋体"/>
                <w:sz w:val="21"/>
                <w:szCs w:val="21"/>
              </w:rPr>
              <w:t>3</w:t>
            </w:r>
          </w:p>
        </w:tc>
        <w:tc>
          <w:tcPr>
            <w:tcW w:w="1684" w:type="dxa"/>
            <w:noWrap w:val="0"/>
            <w:vAlign w:val="top"/>
          </w:tcPr>
          <w:p w14:paraId="506F9DD9">
            <w:pPr>
              <w:pStyle w:val="20"/>
              <w:spacing w:line="360" w:lineRule="auto"/>
              <w:jc w:val="both"/>
              <w:rPr>
                <w:rFonts w:ascii="宋体" w:hAnsi="宋体" w:cs="宋体"/>
                <w:sz w:val="21"/>
                <w:szCs w:val="21"/>
              </w:rPr>
            </w:pPr>
            <w:r>
              <w:rPr>
                <w:rFonts w:ascii="宋体" w:hAnsi="宋体" w:cs="宋体"/>
                <w:sz w:val="21"/>
                <w:szCs w:val="21"/>
              </w:rPr>
              <w:t>交货地点</w:t>
            </w:r>
          </w:p>
        </w:tc>
        <w:tc>
          <w:tcPr>
            <w:tcW w:w="6368" w:type="dxa"/>
            <w:noWrap w:val="0"/>
            <w:vAlign w:val="top"/>
          </w:tcPr>
          <w:p w14:paraId="079051FB">
            <w:pPr>
              <w:pStyle w:val="20"/>
              <w:spacing w:line="360" w:lineRule="auto"/>
              <w:jc w:val="both"/>
              <w:rPr>
                <w:rFonts w:hint="default" w:ascii="宋体" w:hAnsi="宋体" w:eastAsia="宋体" w:cs="宋体"/>
                <w:sz w:val="21"/>
                <w:szCs w:val="21"/>
                <w:lang w:val="en-US" w:eastAsia="zh-CN"/>
              </w:rPr>
            </w:pPr>
            <w:r>
              <w:rPr>
                <w:rFonts w:ascii="宋体" w:hAnsi="宋体" w:cs="宋体"/>
                <w:sz w:val="21"/>
                <w:szCs w:val="21"/>
              </w:rPr>
              <w:t>国家税务总局三明市</w:t>
            </w:r>
            <w:r>
              <w:rPr>
                <w:rFonts w:hint="eastAsia" w:ascii="宋体" w:hAnsi="宋体" w:cs="宋体"/>
                <w:sz w:val="21"/>
                <w:szCs w:val="21"/>
                <w:lang w:eastAsia="zh-CN"/>
              </w:rPr>
              <w:t>三元区</w:t>
            </w:r>
            <w:r>
              <w:rPr>
                <w:rFonts w:ascii="宋体" w:hAnsi="宋体" w:cs="宋体"/>
                <w:sz w:val="21"/>
                <w:szCs w:val="21"/>
              </w:rPr>
              <w:t>税务局机关食堂（三明市三元区</w:t>
            </w:r>
            <w:r>
              <w:rPr>
                <w:rFonts w:hint="eastAsia" w:ascii="宋体" w:hAnsi="宋体" w:cs="宋体"/>
                <w:sz w:val="21"/>
                <w:szCs w:val="21"/>
                <w:lang w:eastAsia="zh-CN"/>
              </w:rPr>
              <w:t>和仁新村</w:t>
            </w:r>
            <w:r>
              <w:rPr>
                <w:rFonts w:hint="eastAsia" w:ascii="宋体" w:hAnsi="宋体" w:cs="宋体"/>
                <w:sz w:val="21"/>
                <w:szCs w:val="21"/>
                <w:lang w:val="en-US" w:eastAsia="zh-CN"/>
              </w:rPr>
              <w:t>43幢三楼</w:t>
            </w:r>
          </w:p>
        </w:tc>
      </w:tr>
      <w:tr w14:paraId="69CC0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3DED0A43">
            <w:pPr>
              <w:pStyle w:val="20"/>
              <w:spacing w:line="360" w:lineRule="auto"/>
              <w:jc w:val="both"/>
              <w:rPr>
                <w:rFonts w:ascii="宋体" w:hAnsi="宋体" w:cs="宋体"/>
                <w:sz w:val="21"/>
                <w:szCs w:val="21"/>
              </w:rPr>
            </w:pPr>
            <w:r>
              <w:rPr>
                <w:rFonts w:ascii="宋体" w:hAnsi="宋体" w:cs="宋体"/>
                <w:sz w:val="21"/>
                <w:szCs w:val="21"/>
              </w:rPr>
              <w:t>4</w:t>
            </w:r>
          </w:p>
        </w:tc>
        <w:tc>
          <w:tcPr>
            <w:tcW w:w="1684" w:type="dxa"/>
            <w:noWrap w:val="0"/>
            <w:vAlign w:val="top"/>
          </w:tcPr>
          <w:p w14:paraId="53AC2192">
            <w:pPr>
              <w:pStyle w:val="20"/>
              <w:spacing w:line="360" w:lineRule="auto"/>
              <w:jc w:val="both"/>
              <w:rPr>
                <w:rFonts w:ascii="宋体" w:hAnsi="宋体" w:cs="宋体"/>
                <w:sz w:val="21"/>
                <w:szCs w:val="21"/>
              </w:rPr>
            </w:pPr>
            <w:r>
              <w:rPr>
                <w:rFonts w:ascii="宋体" w:hAnsi="宋体" w:cs="宋体"/>
                <w:sz w:val="21"/>
                <w:szCs w:val="21"/>
              </w:rPr>
              <w:t>是否邀请投标人验收</w:t>
            </w:r>
          </w:p>
        </w:tc>
        <w:tc>
          <w:tcPr>
            <w:tcW w:w="6368" w:type="dxa"/>
            <w:noWrap w:val="0"/>
            <w:vAlign w:val="top"/>
          </w:tcPr>
          <w:p w14:paraId="5661E9DF">
            <w:pPr>
              <w:pStyle w:val="20"/>
              <w:spacing w:line="360" w:lineRule="auto"/>
              <w:jc w:val="both"/>
              <w:rPr>
                <w:rFonts w:ascii="宋体" w:hAnsi="宋体" w:cs="宋体"/>
                <w:sz w:val="21"/>
                <w:szCs w:val="21"/>
              </w:rPr>
            </w:pPr>
            <w:r>
              <w:rPr>
                <w:rFonts w:ascii="宋体" w:hAnsi="宋体" w:cs="宋体"/>
                <w:sz w:val="21"/>
                <w:szCs w:val="21"/>
              </w:rPr>
              <w:t>不邀请投标人验收</w:t>
            </w:r>
          </w:p>
        </w:tc>
      </w:tr>
      <w:tr w14:paraId="1B92D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77A569CE">
            <w:pPr>
              <w:pStyle w:val="20"/>
              <w:spacing w:line="360" w:lineRule="auto"/>
              <w:jc w:val="both"/>
              <w:rPr>
                <w:rFonts w:ascii="宋体" w:hAnsi="宋体" w:cs="宋体"/>
                <w:sz w:val="21"/>
                <w:szCs w:val="21"/>
              </w:rPr>
            </w:pPr>
            <w:r>
              <w:rPr>
                <w:rFonts w:ascii="宋体" w:hAnsi="宋体" w:cs="宋体"/>
                <w:sz w:val="21"/>
                <w:szCs w:val="21"/>
              </w:rPr>
              <w:t>5</w:t>
            </w:r>
          </w:p>
        </w:tc>
        <w:tc>
          <w:tcPr>
            <w:tcW w:w="1684" w:type="dxa"/>
            <w:noWrap w:val="0"/>
            <w:vAlign w:val="top"/>
          </w:tcPr>
          <w:p w14:paraId="293F76FD">
            <w:pPr>
              <w:pStyle w:val="20"/>
              <w:spacing w:line="360" w:lineRule="auto"/>
              <w:jc w:val="both"/>
              <w:rPr>
                <w:rFonts w:ascii="宋体" w:hAnsi="宋体" w:cs="宋体"/>
                <w:sz w:val="21"/>
                <w:szCs w:val="21"/>
              </w:rPr>
            </w:pPr>
            <w:r>
              <w:rPr>
                <w:rFonts w:ascii="宋体" w:hAnsi="宋体" w:cs="宋体"/>
                <w:sz w:val="21"/>
                <w:szCs w:val="21"/>
              </w:rPr>
              <w:t>履约验收方式</w:t>
            </w:r>
          </w:p>
        </w:tc>
        <w:tc>
          <w:tcPr>
            <w:tcW w:w="6368" w:type="dxa"/>
            <w:noWrap w:val="0"/>
            <w:vAlign w:val="top"/>
          </w:tcPr>
          <w:p w14:paraId="62435F09">
            <w:pPr>
              <w:pStyle w:val="20"/>
              <w:spacing w:line="360" w:lineRule="auto"/>
              <w:jc w:val="both"/>
              <w:rPr>
                <w:rFonts w:ascii="宋体" w:hAnsi="宋体" w:cs="宋体"/>
                <w:sz w:val="21"/>
                <w:szCs w:val="21"/>
              </w:rPr>
            </w:pPr>
            <w:r>
              <w:rPr>
                <w:rFonts w:ascii="宋体" w:hAnsi="宋体" w:cs="宋体"/>
                <w:sz w:val="21"/>
                <w:szCs w:val="21"/>
              </w:rPr>
              <w:t xml:space="preserve">验收应按照招标文件、中标人投标文件的规定或约定进行验收 </w:t>
            </w:r>
          </w:p>
        </w:tc>
      </w:tr>
      <w:tr w14:paraId="69648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18B5D050">
            <w:pPr>
              <w:pStyle w:val="20"/>
              <w:spacing w:line="360" w:lineRule="auto"/>
              <w:jc w:val="both"/>
              <w:rPr>
                <w:rFonts w:ascii="宋体" w:hAnsi="宋体" w:cs="宋体"/>
                <w:sz w:val="21"/>
                <w:szCs w:val="21"/>
              </w:rPr>
            </w:pPr>
            <w:r>
              <w:rPr>
                <w:rFonts w:ascii="宋体" w:hAnsi="宋体" w:cs="宋体"/>
                <w:sz w:val="21"/>
                <w:szCs w:val="21"/>
              </w:rPr>
              <w:t>6</w:t>
            </w:r>
          </w:p>
        </w:tc>
        <w:tc>
          <w:tcPr>
            <w:tcW w:w="1684" w:type="dxa"/>
            <w:noWrap w:val="0"/>
            <w:vAlign w:val="top"/>
          </w:tcPr>
          <w:p w14:paraId="30BAAD71">
            <w:pPr>
              <w:pStyle w:val="20"/>
              <w:spacing w:line="360" w:lineRule="auto"/>
              <w:jc w:val="both"/>
              <w:rPr>
                <w:rFonts w:ascii="宋体" w:hAnsi="宋体" w:cs="宋体"/>
                <w:sz w:val="21"/>
                <w:szCs w:val="21"/>
              </w:rPr>
            </w:pPr>
            <w:r>
              <w:rPr>
                <w:rFonts w:ascii="宋体" w:hAnsi="宋体" w:cs="宋体"/>
                <w:sz w:val="21"/>
                <w:szCs w:val="21"/>
              </w:rPr>
              <w:t>合同支付方式</w:t>
            </w:r>
          </w:p>
        </w:tc>
        <w:tc>
          <w:tcPr>
            <w:tcW w:w="6368" w:type="dxa"/>
            <w:noWrap w:val="0"/>
            <w:vAlign w:val="center"/>
          </w:tcPr>
          <w:p w14:paraId="2DA2E90B">
            <w:pPr>
              <w:pStyle w:val="6"/>
              <w:spacing w:before="0" w:beforeAutospacing="0" w:after="0" w:afterAutospacing="0" w:line="360" w:lineRule="auto"/>
              <w:rPr>
                <w:rFonts w:hint="eastAsia"/>
                <w:sz w:val="21"/>
                <w:szCs w:val="21"/>
                <w:shd w:val="clear" w:color="auto" w:fill="FFFFFF"/>
              </w:rPr>
            </w:pPr>
            <w:r>
              <w:rPr>
                <w:rFonts w:hint="eastAsia"/>
                <w:sz w:val="21"/>
                <w:szCs w:val="21"/>
                <w:shd w:val="clear" w:color="auto" w:fill="FFFFFF"/>
              </w:rPr>
              <w:t>中标人应于每月25日前开具上月供货发票并附相关凭证提交采购人（当月产生违约金应在当月食材结算款中直接扣除），采购人在收到供货发票并经核对无误后支付货款。</w:t>
            </w:r>
          </w:p>
        </w:tc>
      </w:tr>
      <w:tr w14:paraId="37D7F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57ECFDD6">
            <w:pPr>
              <w:pStyle w:val="20"/>
              <w:spacing w:line="360" w:lineRule="auto"/>
              <w:jc w:val="both"/>
              <w:rPr>
                <w:rFonts w:ascii="宋体" w:hAnsi="宋体" w:cs="宋体"/>
                <w:sz w:val="21"/>
                <w:szCs w:val="21"/>
              </w:rPr>
            </w:pPr>
            <w:r>
              <w:rPr>
                <w:rFonts w:ascii="宋体" w:hAnsi="宋体" w:cs="宋体"/>
                <w:sz w:val="21"/>
                <w:szCs w:val="21"/>
              </w:rPr>
              <w:t>7</w:t>
            </w:r>
          </w:p>
        </w:tc>
        <w:tc>
          <w:tcPr>
            <w:tcW w:w="1684" w:type="dxa"/>
            <w:noWrap w:val="0"/>
            <w:vAlign w:val="top"/>
          </w:tcPr>
          <w:p w14:paraId="12F6AD8C">
            <w:pPr>
              <w:pStyle w:val="20"/>
              <w:spacing w:line="360" w:lineRule="auto"/>
              <w:jc w:val="both"/>
              <w:rPr>
                <w:rFonts w:ascii="宋体" w:hAnsi="宋体" w:cs="宋体"/>
                <w:sz w:val="21"/>
                <w:szCs w:val="21"/>
              </w:rPr>
            </w:pPr>
            <w:r>
              <w:rPr>
                <w:rFonts w:ascii="宋体" w:hAnsi="宋体" w:cs="宋体"/>
                <w:sz w:val="21"/>
                <w:szCs w:val="21"/>
              </w:rPr>
              <w:t>是否收取履约保证金</w:t>
            </w:r>
          </w:p>
        </w:tc>
        <w:tc>
          <w:tcPr>
            <w:tcW w:w="6368" w:type="dxa"/>
            <w:noWrap w:val="0"/>
            <w:vAlign w:val="top"/>
          </w:tcPr>
          <w:p w14:paraId="7DB566FD">
            <w:pPr>
              <w:pStyle w:val="20"/>
              <w:spacing w:line="360" w:lineRule="auto"/>
              <w:jc w:val="both"/>
              <w:rPr>
                <w:rFonts w:ascii="宋体" w:hAnsi="宋体" w:cs="宋体"/>
                <w:sz w:val="21"/>
                <w:szCs w:val="21"/>
              </w:rPr>
            </w:pPr>
            <w:r>
              <w:rPr>
                <w:rFonts w:ascii="宋体" w:hAnsi="宋体" w:cs="宋体"/>
                <w:sz w:val="21"/>
                <w:szCs w:val="21"/>
              </w:rPr>
              <w:t xml:space="preserve">本项目不收取履约保证金 </w:t>
            </w:r>
          </w:p>
        </w:tc>
      </w:tr>
      <w:tr w14:paraId="2A7E2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noWrap w:val="0"/>
            <w:vAlign w:val="top"/>
          </w:tcPr>
          <w:p w14:paraId="48A56253">
            <w:pPr>
              <w:pStyle w:val="20"/>
              <w:spacing w:line="360" w:lineRule="auto"/>
              <w:jc w:val="both"/>
              <w:rPr>
                <w:rFonts w:ascii="宋体" w:hAnsi="宋体" w:cs="宋体"/>
                <w:sz w:val="21"/>
                <w:szCs w:val="21"/>
              </w:rPr>
            </w:pPr>
            <w:r>
              <w:rPr>
                <w:rFonts w:ascii="宋体" w:hAnsi="宋体" w:cs="宋体"/>
                <w:sz w:val="21"/>
                <w:szCs w:val="21"/>
              </w:rPr>
              <w:t>8</w:t>
            </w:r>
          </w:p>
        </w:tc>
        <w:tc>
          <w:tcPr>
            <w:tcW w:w="1684" w:type="dxa"/>
            <w:noWrap w:val="0"/>
            <w:vAlign w:val="top"/>
          </w:tcPr>
          <w:p w14:paraId="3CF56867">
            <w:pPr>
              <w:pStyle w:val="20"/>
              <w:spacing w:line="360" w:lineRule="auto"/>
              <w:jc w:val="both"/>
              <w:rPr>
                <w:rFonts w:ascii="宋体" w:hAnsi="宋体" w:cs="宋体"/>
                <w:sz w:val="21"/>
                <w:szCs w:val="21"/>
              </w:rPr>
            </w:pPr>
            <w:r>
              <w:rPr>
                <w:rFonts w:ascii="宋体" w:hAnsi="宋体" w:cs="宋体"/>
                <w:sz w:val="21"/>
                <w:szCs w:val="21"/>
              </w:rPr>
              <w:t>违约责任</w:t>
            </w:r>
          </w:p>
        </w:tc>
        <w:tc>
          <w:tcPr>
            <w:tcW w:w="6368" w:type="dxa"/>
            <w:noWrap w:val="0"/>
            <w:vAlign w:val="top"/>
          </w:tcPr>
          <w:p w14:paraId="01641CC3">
            <w:pPr>
              <w:pStyle w:val="20"/>
              <w:spacing w:line="360" w:lineRule="auto"/>
              <w:jc w:val="both"/>
              <w:rPr>
                <w:rFonts w:ascii="宋体" w:hAnsi="宋体" w:cs="宋体"/>
                <w:sz w:val="21"/>
                <w:szCs w:val="21"/>
              </w:rPr>
            </w:pPr>
            <w:r>
              <w:rPr>
                <w:rFonts w:ascii="宋体" w:hAnsi="宋体" w:cs="宋体"/>
                <w:sz w:val="21"/>
                <w:szCs w:val="21"/>
              </w:rPr>
              <w:t>（一）质量异议处理</w:t>
            </w:r>
          </w:p>
          <w:p w14:paraId="7A78D95E">
            <w:pPr>
              <w:pStyle w:val="20"/>
              <w:spacing w:line="360" w:lineRule="auto"/>
              <w:jc w:val="both"/>
              <w:rPr>
                <w:rFonts w:ascii="宋体" w:hAnsi="宋体" w:cs="宋体"/>
                <w:sz w:val="21"/>
                <w:szCs w:val="21"/>
              </w:rPr>
            </w:pPr>
            <w:r>
              <w:rPr>
                <w:rFonts w:ascii="宋体" w:hAnsi="宋体" w:cs="宋体"/>
                <w:sz w:val="21"/>
                <w:szCs w:val="21"/>
              </w:rPr>
              <w:t>1.采购人有权对中标人供应的货物进行定期与不定期的抽样检验，采购人对有疑义的货物有权要求双方代表到场共同提取样品送权威部门检测，抽检合格的检验费用由采购人支付，抽检不合格的即为中标人“货物质量不符合要求”，检验费用由中标人支付，并由中标人向采购人支付违约金5000元，发送整改函。</w:t>
            </w:r>
          </w:p>
          <w:p w14:paraId="3848F0D9">
            <w:pPr>
              <w:pStyle w:val="20"/>
              <w:spacing w:line="360" w:lineRule="auto"/>
              <w:jc w:val="both"/>
              <w:rPr>
                <w:rFonts w:ascii="宋体" w:hAnsi="宋体" w:cs="宋体"/>
                <w:sz w:val="21"/>
                <w:szCs w:val="21"/>
              </w:rPr>
            </w:pPr>
            <w:r>
              <w:rPr>
                <w:rFonts w:ascii="宋体" w:hAnsi="宋体" w:cs="宋体"/>
                <w:sz w:val="21"/>
                <w:szCs w:val="21"/>
              </w:rPr>
              <w:t>2.采购人认定中标人所送货物与采购人订单或合同要求不符时或货物送达之前被损坏，有权要求中标人退货或换货，并给予中标人口头整改通知。若中标人有异议，应于接到采购人通知后1小时内回复采购人并协商处理方式，否则将视为中标人对不符合质量要求无异议，中标人应于合同约定时间内退货或换货。</w:t>
            </w:r>
          </w:p>
          <w:p w14:paraId="0D011E0A">
            <w:pPr>
              <w:pStyle w:val="20"/>
              <w:spacing w:line="360" w:lineRule="auto"/>
              <w:jc w:val="both"/>
              <w:rPr>
                <w:rFonts w:ascii="宋体" w:hAnsi="宋体" w:cs="宋体"/>
                <w:sz w:val="21"/>
                <w:szCs w:val="21"/>
              </w:rPr>
            </w:pPr>
            <w:r>
              <w:rPr>
                <w:rFonts w:ascii="宋体" w:hAnsi="宋体" w:cs="宋体"/>
                <w:sz w:val="21"/>
                <w:szCs w:val="21"/>
              </w:rPr>
              <w:t>（二）中标人管理</w:t>
            </w:r>
          </w:p>
          <w:p w14:paraId="35574873">
            <w:pPr>
              <w:pStyle w:val="20"/>
              <w:spacing w:line="360" w:lineRule="auto"/>
              <w:jc w:val="both"/>
              <w:rPr>
                <w:rFonts w:ascii="宋体" w:hAnsi="宋体" w:cs="宋体"/>
                <w:sz w:val="21"/>
                <w:szCs w:val="21"/>
              </w:rPr>
            </w:pPr>
            <w:r>
              <w:rPr>
                <w:rFonts w:ascii="宋体" w:hAnsi="宋体" w:cs="宋体"/>
                <w:sz w:val="21"/>
                <w:szCs w:val="21"/>
              </w:rPr>
              <w:t>采购人每天对中标人的到货时间、到货及时性、应到品种、实际到货品种、货物品质、退货情况、产品退货率等进行记录，对中标人的不诚信行为进行警告、严重警告、承担违约金及发送整改函等处理。中标人违反采购文件规定或合同约定义务，除承担相应违约责任外，还应承担采购人因维护自身合法权利的而产生的合理费用，包括但不限于律师费、诉讼费、保全费</w:t>
            </w:r>
            <w:bookmarkStart w:id="63" w:name="_Hlk195463667"/>
            <w:r>
              <w:rPr>
                <w:rFonts w:ascii="宋体" w:hAnsi="宋体" w:cs="宋体"/>
                <w:sz w:val="21"/>
                <w:szCs w:val="21"/>
              </w:rPr>
              <w:t>、保全保险费、公告费</w:t>
            </w:r>
            <w:bookmarkEnd w:id="63"/>
            <w:r>
              <w:rPr>
                <w:rFonts w:ascii="宋体" w:hAnsi="宋体" w:cs="宋体"/>
                <w:sz w:val="21"/>
                <w:szCs w:val="21"/>
              </w:rPr>
              <w:t>等</w:t>
            </w:r>
          </w:p>
          <w:p w14:paraId="0290DF36">
            <w:pPr>
              <w:pStyle w:val="20"/>
              <w:spacing w:line="360" w:lineRule="auto"/>
              <w:jc w:val="both"/>
              <w:rPr>
                <w:rFonts w:ascii="宋体" w:hAnsi="宋体" w:cs="宋体"/>
                <w:sz w:val="21"/>
                <w:szCs w:val="21"/>
              </w:rPr>
            </w:pPr>
            <w:r>
              <w:rPr>
                <w:rFonts w:ascii="宋体" w:hAnsi="宋体" w:cs="宋体"/>
                <w:sz w:val="21"/>
                <w:szCs w:val="21"/>
              </w:rPr>
              <w:t>1.中标人应按合同约定供货，中标人不得转包、分包，否则采购人有权单方解除合同，并另行采购所需货物，由此带来的一切损失及费用由中标人承担，中标人需另支付相应的赔偿。</w:t>
            </w:r>
          </w:p>
          <w:p w14:paraId="4EC767B2">
            <w:pPr>
              <w:pStyle w:val="20"/>
              <w:spacing w:line="360" w:lineRule="auto"/>
              <w:jc w:val="both"/>
              <w:rPr>
                <w:rFonts w:ascii="宋体" w:hAnsi="宋体" w:cs="宋体"/>
                <w:sz w:val="21"/>
                <w:szCs w:val="21"/>
              </w:rPr>
            </w:pPr>
            <w:r>
              <w:rPr>
                <w:rFonts w:ascii="宋体" w:hAnsi="宋体" w:cs="宋体"/>
                <w:sz w:val="21"/>
                <w:szCs w:val="21"/>
              </w:rPr>
              <w:t xml:space="preserve">2.中标人应遵守采购人单位的各项规定。 </w:t>
            </w:r>
          </w:p>
          <w:p w14:paraId="2B2BFACD">
            <w:pPr>
              <w:pStyle w:val="20"/>
              <w:spacing w:line="360" w:lineRule="auto"/>
              <w:jc w:val="both"/>
              <w:rPr>
                <w:rFonts w:ascii="宋体" w:hAnsi="宋体" w:cs="宋体"/>
                <w:sz w:val="21"/>
                <w:szCs w:val="21"/>
              </w:rPr>
            </w:pPr>
            <w:r>
              <w:rPr>
                <w:rFonts w:ascii="宋体" w:hAnsi="宋体" w:cs="宋体"/>
                <w:sz w:val="21"/>
                <w:szCs w:val="21"/>
              </w:rPr>
              <w:t>3.中标人除不可抗力外，不得因其他任何理由延迟送货。因中标人原因逾期供货、换货、补货：超约定时间半个小时以上1个小时（含本数）以内，中标人支付给采购人违约金每次1000元，超过1个小时以上中标人付给采购人违约金每次3000元。期间采购人使用单位有权另行采购，由此带来的一切损失及费用由中标人承担。</w:t>
            </w:r>
          </w:p>
          <w:p w14:paraId="15072C0A">
            <w:pPr>
              <w:pStyle w:val="20"/>
              <w:spacing w:line="360" w:lineRule="auto"/>
              <w:jc w:val="both"/>
              <w:rPr>
                <w:rFonts w:ascii="宋体" w:hAnsi="宋体" w:cs="宋体"/>
                <w:sz w:val="21"/>
                <w:szCs w:val="21"/>
              </w:rPr>
            </w:pPr>
            <w:r>
              <w:rPr>
                <w:rFonts w:ascii="宋体" w:hAnsi="宋体" w:cs="宋体"/>
                <w:sz w:val="21"/>
                <w:szCs w:val="21"/>
              </w:rPr>
              <w:t>4.中标人在接到采购人下达的订单后，应严格按照订单指定的商标、名称、产地、规格、保质期和重量等要求提供货物，不得擅自变更，否则，采购人有权拒收。中标人擅自更换供货物的，每次承担违约金1000元。期间采购人使用单位有权自行采购，由此带来的一切损失及费用由中标人承担。</w:t>
            </w:r>
          </w:p>
          <w:p w14:paraId="5F4F0BCB">
            <w:pPr>
              <w:pStyle w:val="20"/>
              <w:spacing w:line="360" w:lineRule="auto"/>
              <w:jc w:val="both"/>
              <w:rPr>
                <w:rFonts w:ascii="宋体" w:hAnsi="宋体" w:cs="宋体"/>
                <w:sz w:val="21"/>
                <w:szCs w:val="21"/>
              </w:rPr>
            </w:pPr>
            <w:r>
              <w:rPr>
                <w:rFonts w:ascii="宋体" w:hAnsi="宋体" w:cs="宋体"/>
                <w:sz w:val="21"/>
                <w:szCs w:val="21"/>
              </w:rPr>
              <w:t>5.采购人使用单位按合同对商品进行认真验收，对不符合规格要求的商品，采购人无条件退货；中标人未能履行招标文件和合同所约定事项,或供应不合格的、假冒伪劣、以次充好的商品或供货时的商品与中标人投标文件中的承诺不符，采购人使用单位有权退货并将记录在案，并有权另行采购所需货物，由此带来的一切损失及费用由中标人承担。同时对中标人予以处理，中标人除要承担采购人因此产生的一切损失和费用外，每次承担违约金5000元，情节严重的采购人有权立即单方解除合同。</w:t>
            </w:r>
          </w:p>
          <w:p w14:paraId="6A793111">
            <w:pPr>
              <w:pStyle w:val="20"/>
              <w:spacing w:line="360" w:lineRule="auto"/>
              <w:jc w:val="both"/>
              <w:rPr>
                <w:rFonts w:ascii="宋体" w:hAnsi="宋体" w:cs="宋体"/>
                <w:sz w:val="21"/>
                <w:szCs w:val="21"/>
              </w:rPr>
            </w:pPr>
            <w:r>
              <w:rPr>
                <w:rFonts w:ascii="宋体" w:hAnsi="宋体" w:cs="宋体"/>
                <w:sz w:val="21"/>
                <w:szCs w:val="21"/>
              </w:rPr>
              <w:t>6.出现下列情形之一：短斤少两者经现场验收查出，或中标人结算食材采购款时，数量（价格）错误。被采购人查出，采购人将按实际数量（价格）结算采购款，同时，中标人向采购人支付实际采购款二倍的违约金。</w:t>
            </w:r>
          </w:p>
          <w:p w14:paraId="5A51803E">
            <w:pPr>
              <w:pStyle w:val="20"/>
              <w:spacing w:line="360" w:lineRule="auto"/>
              <w:jc w:val="both"/>
              <w:rPr>
                <w:rFonts w:ascii="宋体" w:hAnsi="宋体" w:cs="宋体"/>
                <w:sz w:val="21"/>
                <w:szCs w:val="21"/>
              </w:rPr>
            </w:pPr>
            <w:r>
              <w:rPr>
                <w:rFonts w:ascii="宋体" w:hAnsi="宋体" w:cs="宋体"/>
                <w:sz w:val="21"/>
                <w:szCs w:val="21"/>
              </w:rPr>
              <w:t xml:space="preserve">7.中标人按所供应商品的销售额开具国家正式发票。 </w:t>
            </w:r>
          </w:p>
          <w:p w14:paraId="156C33D9">
            <w:pPr>
              <w:pStyle w:val="20"/>
              <w:spacing w:line="360" w:lineRule="auto"/>
              <w:jc w:val="both"/>
              <w:rPr>
                <w:rFonts w:ascii="宋体" w:hAnsi="宋体" w:cs="宋体"/>
                <w:sz w:val="21"/>
                <w:szCs w:val="21"/>
              </w:rPr>
            </w:pPr>
            <w:r>
              <w:rPr>
                <w:rFonts w:ascii="宋体" w:hAnsi="宋体" w:cs="宋体"/>
                <w:sz w:val="21"/>
                <w:szCs w:val="21"/>
              </w:rPr>
              <w:t>8.中标人对所有供货商品作出书面承诺，保证质量安全合格。若发现商品变质或假冒伪劣等质量安全问题的，每次承担违约金5000元，并无条件退货。期间采购人使用单位有权另行采购，由此带来的一切损失及费用由中标人承担。连续发生2次或造成一起安全（监管和食品卫生）事故的，采购人有权立即单方解除合同。</w:t>
            </w:r>
          </w:p>
          <w:p w14:paraId="6B5F92AA">
            <w:pPr>
              <w:pStyle w:val="20"/>
              <w:spacing w:line="360" w:lineRule="auto"/>
              <w:jc w:val="both"/>
              <w:rPr>
                <w:rFonts w:ascii="宋体" w:hAnsi="宋体" w:cs="宋体"/>
                <w:sz w:val="21"/>
                <w:szCs w:val="21"/>
              </w:rPr>
            </w:pPr>
            <w:r>
              <w:rPr>
                <w:rFonts w:ascii="宋体" w:hAnsi="宋体" w:cs="宋体"/>
                <w:sz w:val="21"/>
                <w:szCs w:val="21"/>
              </w:rPr>
              <w:t xml:space="preserve">9.食品溯源要求。中标人对食品供应链进行明确，所有食品的来源清晰，尽量使用知名品牌，包装食品要有SC标志。生产食品的源头与中标人要有固定的合法的供应关系，严禁收购非标准产品供应。本次招标要求投标人在投标文件中明确承诺：如中标，提供给采购人的食材，均需对食材的来源和质量标准作出详尽的描述，并提出验收的行业标准和感官标准。如该品牌商品无质量标准，则需由中标人按国家和行业的要求自行描述。 </w:t>
            </w:r>
          </w:p>
          <w:p w14:paraId="14B3115C">
            <w:pPr>
              <w:pStyle w:val="20"/>
              <w:spacing w:line="360" w:lineRule="auto"/>
              <w:jc w:val="both"/>
              <w:rPr>
                <w:rFonts w:ascii="宋体" w:hAnsi="宋体" w:cs="宋体"/>
                <w:sz w:val="21"/>
                <w:szCs w:val="21"/>
              </w:rPr>
            </w:pPr>
            <w:r>
              <w:rPr>
                <w:rFonts w:ascii="宋体" w:hAnsi="宋体" w:cs="宋体"/>
                <w:sz w:val="21"/>
                <w:szCs w:val="21"/>
              </w:rPr>
              <w:t>10.不服从管理：在配送过程中与采购单位工作人员、业主管理人员发生冲突、争执、打架斗殴等行为，除承担违约金5000元外，采购单位有权要求更换送货人员，情节严重时，采购人有权立即单方解除合同，同时，因采购人另行采购所需货物，造成的一切经济损失中标人承担。</w:t>
            </w:r>
          </w:p>
          <w:p w14:paraId="2F3AC16C">
            <w:pPr>
              <w:pStyle w:val="20"/>
              <w:spacing w:line="360" w:lineRule="auto"/>
              <w:jc w:val="both"/>
              <w:rPr>
                <w:rFonts w:ascii="宋体" w:hAnsi="宋体" w:cs="宋体"/>
                <w:sz w:val="21"/>
                <w:szCs w:val="21"/>
              </w:rPr>
            </w:pPr>
            <w:r>
              <w:rPr>
                <w:rFonts w:ascii="宋体" w:hAnsi="宋体" w:cs="宋体"/>
                <w:sz w:val="21"/>
                <w:szCs w:val="21"/>
              </w:rPr>
              <w:t>11.违章：中标人应严格遵守采购人管理制度，服从采购人的管理。配送过程中不得发生违章行为，因违章造成的一切损失由中标人负全部责任。在合同期内若中标人接到采购人要求终止或解除供货合同的书面形式通知时，中标人应无条件终止合同。</w:t>
            </w:r>
          </w:p>
          <w:p w14:paraId="4EC45BE3">
            <w:pPr>
              <w:pStyle w:val="20"/>
              <w:spacing w:line="360" w:lineRule="auto"/>
              <w:jc w:val="both"/>
              <w:rPr>
                <w:rFonts w:ascii="宋体" w:hAnsi="宋体" w:cs="宋体"/>
                <w:sz w:val="21"/>
                <w:szCs w:val="21"/>
              </w:rPr>
            </w:pPr>
            <w:r>
              <w:rPr>
                <w:rFonts w:ascii="宋体" w:hAnsi="宋体" w:cs="宋体"/>
                <w:sz w:val="21"/>
                <w:szCs w:val="21"/>
              </w:rPr>
              <w:t>12.中标人代采购的所有产品必须是正规渠道生产加工、正规商场和市场销售的产品，农副产品包括蔬菜、干货等采购必须在具有一定规模的农产品交易市场进行采购。采购人有权知晓中标人采购渠道和采购场所并且进行调查，中标人必须如实提供采购渠道信息，采购人会不定期对中标人的采购渠道进行检查。</w:t>
            </w:r>
          </w:p>
          <w:p w14:paraId="31705CDA">
            <w:pPr>
              <w:pStyle w:val="20"/>
              <w:spacing w:line="360" w:lineRule="auto"/>
              <w:jc w:val="both"/>
              <w:rPr>
                <w:rFonts w:ascii="宋体" w:hAnsi="宋体" w:cs="宋体"/>
                <w:sz w:val="21"/>
                <w:szCs w:val="21"/>
              </w:rPr>
            </w:pPr>
            <w:r>
              <w:rPr>
                <w:rFonts w:ascii="宋体" w:hAnsi="宋体" w:cs="宋体"/>
                <w:sz w:val="21"/>
                <w:szCs w:val="21"/>
              </w:rPr>
              <w:t>13.采购人有权对中标人提交《食材报价表》上的门店零售价进行抽查，如发现其提供的门店零售价高于填报当日该门店实际零售价的，每次支付1000元的违约金，中标人同时还应承担采购方相应经济损失。</w:t>
            </w:r>
          </w:p>
          <w:p w14:paraId="7770D0DB">
            <w:pPr>
              <w:pStyle w:val="20"/>
              <w:spacing w:line="360" w:lineRule="auto"/>
              <w:jc w:val="both"/>
              <w:rPr>
                <w:rFonts w:ascii="宋体" w:hAnsi="宋体" w:cs="宋体"/>
                <w:sz w:val="21"/>
                <w:szCs w:val="21"/>
              </w:rPr>
            </w:pPr>
            <w:r>
              <w:rPr>
                <w:rFonts w:ascii="宋体" w:hAnsi="宋体" w:cs="宋体"/>
                <w:sz w:val="21"/>
                <w:szCs w:val="21"/>
              </w:rPr>
              <w:t>14.中标人无故不提供报价的，每次支付违约金1000元，并承担采购人相应经济损失。连续两次或合同周期内累计三次无故不提供报价的，取消其成交资格。</w:t>
            </w:r>
          </w:p>
          <w:p w14:paraId="4E240706">
            <w:pPr>
              <w:pStyle w:val="20"/>
              <w:spacing w:line="360" w:lineRule="auto"/>
              <w:jc w:val="both"/>
              <w:rPr>
                <w:rFonts w:ascii="宋体" w:hAnsi="宋体" w:cs="宋体"/>
                <w:sz w:val="21"/>
                <w:szCs w:val="21"/>
              </w:rPr>
            </w:pPr>
            <w:r>
              <w:rPr>
                <w:rFonts w:ascii="宋体" w:hAnsi="宋体" w:cs="宋体"/>
                <w:sz w:val="21"/>
                <w:szCs w:val="21"/>
              </w:rPr>
              <w:t>15.中标人必须无条件接受工商、卫生、质检等国家食品安全监管部门和采购人相关职能部门对食材安全方面的监督管理、检查考核。如因中标人原因造成食物中毒等事件，经卫生检疫部门认定后，中标人不仅要承担所有医疗费用和后续治疗费用、卫生检疫部门的罚金以及因此造成采购人的经济损失，同时要承担相应的法律责任。</w:t>
            </w:r>
          </w:p>
          <w:p w14:paraId="3FE9CE17">
            <w:pPr>
              <w:pStyle w:val="20"/>
              <w:spacing w:line="360" w:lineRule="auto"/>
              <w:jc w:val="both"/>
              <w:rPr>
                <w:rFonts w:ascii="宋体" w:hAnsi="宋体" w:cs="宋体"/>
                <w:sz w:val="21"/>
                <w:szCs w:val="21"/>
              </w:rPr>
            </w:pPr>
            <w:r>
              <w:rPr>
                <w:rFonts w:ascii="宋体" w:hAnsi="宋体" w:cs="宋体"/>
                <w:sz w:val="21"/>
                <w:szCs w:val="21"/>
              </w:rPr>
              <w:t>16.采购人不定期组成抽查小组对中标人的供应食材进行抽查，如:配送食材质量、配送车辆卫生、储存环境、食材原料保存方法等方面。采购人首次检查不合格时，可提出责令整改，如中标人累计三次被检查不合格，采购人有权解除合同。</w:t>
            </w:r>
          </w:p>
          <w:p w14:paraId="3C947217">
            <w:pPr>
              <w:pStyle w:val="20"/>
              <w:spacing w:line="360" w:lineRule="auto"/>
              <w:jc w:val="both"/>
              <w:rPr>
                <w:rFonts w:ascii="宋体" w:hAnsi="宋体" w:cs="宋体"/>
                <w:sz w:val="21"/>
                <w:szCs w:val="21"/>
              </w:rPr>
            </w:pPr>
            <w:r>
              <w:rPr>
                <w:rFonts w:ascii="宋体" w:hAnsi="宋体" w:cs="宋体"/>
                <w:sz w:val="21"/>
                <w:szCs w:val="21"/>
              </w:rPr>
              <w:t>17.如因中标人违约被终止合同，应赔偿采购人相关经济损失，同时要承担相关法律责任，采购人有权另行采购，并通过法定程序确定新的供应商。</w:t>
            </w:r>
          </w:p>
          <w:p w14:paraId="3854B7CF">
            <w:pPr>
              <w:pStyle w:val="20"/>
              <w:spacing w:line="360" w:lineRule="auto"/>
              <w:jc w:val="both"/>
              <w:rPr>
                <w:rFonts w:ascii="宋体" w:hAnsi="宋体" w:cs="宋体"/>
                <w:sz w:val="21"/>
                <w:szCs w:val="21"/>
              </w:rPr>
            </w:pPr>
            <w:r>
              <w:rPr>
                <w:rFonts w:ascii="宋体" w:hAnsi="宋体" w:cs="宋体"/>
                <w:sz w:val="21"/>
                <w:szCs w:val="21"/>
              </w:rPr>
              <w:t>18.采购人保留对中标人的实地考察权利，若发现存在虚假应标的情况，采购人有权取消中标人资格，并汇报给相关监督管理部门。</w:t>
            </w:r>
          </w:p>
          <w:p w14:paraId="71832F9F">
            <w:pPr>
              <w:pStyle w:val="20"/>
              <w:spacing w:line="360" w:lineRule="auto"/>
              <w:jc w:val="both"/>
              <w:rPr>
                <w:rFonts w:ascii="宋体" w:hAnsi="宋体" w:cs="宋体"/>
                <w:sz w:val="21"/>
                <w:szCs w:val="21"/>
              </w:rPr>
            </w:pPr>
            <w:r>
              <w:rPr>
                <w:rFonts w:ascii="宋体" w:hAnsi="宋体" w:cs="宋体"/>
                <w:sz w:val="21"/>
                <w:szCs w:val="21"/>
              </w:rPr>
              <w:t>19.中标人承诺在配送服务期间，若政府部门有新的相关食材配送的集中采购的政策规定，则按新的政策执行，本项目的配送协议终止，中标人须无条件配合交接。若合同期内出现违约或给其他采购人造成损害的情况，采购人可单方面解除合同。</w:t>
            </w:r>
          </w:p>
          <w:p w14:paraId="69A472D9">
            <w:pPr>
              <w:pStyle w:val="20"/>
              <w:spacing w:line="360" w:lineRule="auto"/>
              <w:jc w:val="both"/>
              <w:rPr>
                <w:rFonts w:ascii="宋体" w:hAnsi="宋体" w:cs="宋体"/>
                <w:sz w:val="21"/>
                <w:szCs w:val="21"/>
              </w:rPr>
            </w:pPr>
            <w:r>
              <w:rPr>
                <w:rFonts w:ascii="宋体" w:hAnsi="宋体" w:cs="宋体"/>
                <w:sz w:val="21"/>
                <w:szCs w:val="21"/>
              </w:rPr>
              <w:t>注：如遇政府或上级主管部门政策变更等情况，导致该合同内容发生重大变化的，该合同根据新的政策规定进行相应调整或终止，双方不因此承担违约责任。</w:t>
            </w:r>
          </w:p>
        </w:tc>
      </w:tr>
    </w:tbl>
    <w:p w14:paraId="70685A67">
      <w:pPr>
        <w:spacing w:after="0" w:line="360" w:lineRule="auto"/>
        <w:rPr>
          <w:rFonts w:ascii="Calibri" w:hAnsi="Calibri"/>
          <w:i/>
          <w:color w:val="auto"/>
          <w:sz w:val="21"/>
          <w:szCs w:val="21"/>
          <w:highlight w:val="none"/>
        </w:rPr>
      </w:pPr>
      <w:r>
        <w:rPr>
          <w:rFonts w:hint="eastAsia" w:asciiTheme="minorEastAsia" w:hAnsiTheme="minorEastAsia" w:eastAsiaTheme="minorEastAsia" w:cstheme="minorEastAsia"/>
          <w:b/>
          <w:bCs/>
          <w:color w:val="auto"/>
          <w:sz w:val="20"/>
          <w:szCs w:val="20"/>
          <w:lang w:val="en-US" w:eastAsia="zh-CN"/>
        </w:rPr>
        <w:t>注：</w:t>
      </w:r>
      <w:r>
        <w:rPr>
          <w:rFonts w:hint="eastAsia" w:asciiTheme="minorEastAsia" w:hAnsiTheme="minorEastAsia" w:eastAsiaTheme="minorEastAsia" w:cstheme="minorEastAsia"/>
          <w:b/>
          <w:bCs/>
          <w:color w:val="auto"/>
          <w:sz w:val="20"/>
          <w:szCs w:val="20"/>
        </w:rPr>
        <w:t>以上所有条件的内容均为不允许负偏离的实质性要求，若有负偏离或未响应的均按无效投标处理。</w:t>
      </w:r>
    </w:p>
    <w:p w14:paraId="4B77933A">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color w:val="auto"/>
          <w:highlight w:val="none"/>
        </w:rPr>
      </w:pPr>
      <w:bookmarkStart w:id="64" w:name="_Toc129529572"/>
      <w:bookmarkStart w:id="65" w:name="_Toc132880289"/>
      <w:r>
        <w:rPr>
          <w:rFonts w:hint="eastAsia" w:ascii="黑体" w:hAnsi="黑体" w:eastAsia="黑体" w:cs="黑体"/>
          <w:color w:val="auto"/>
          <w:highlight w:val="none"/>
        </w:rPr>
        <w:t>其他事项</w:t>
      </w:r>
      <w:bookmarkEnd w:id="64"/>
      <w:bookmarkEnd w:id="65"/>
    </w:p>
    <w:p w14:paraId="10A1A9CB">
      <w:pPr>
        <w:pStyle w:val="14"/>
        <w:ind w:firstLine="0" w:firstLineChars="0"/>
        <w:outlineLvl w:val="9"/>
        <w:rPr>
          <w:rFonts w:hint="eastAsia" w:ascii="宋体" w:hAnsi="宋体" w:eastAsia="宋体" w:cs="宋体"/>
          <w:sz w:val="21"/>
          <w:szCs w:val="21"/>
          <w:lang w:val="en" w:eastAsia="de-DE" w:bidi="ar-SA"/>
        </w:rPr>
      </w:pPr>
      <w:bookmarkStart w:id="66" w:name="_Toc28959"/>
      <w:r>
        <w:rPr>
          <w:rFonts w:hint="eastAsia" w:ascii="宋体" w:hAnsi="宋体" w:eastAsia="宋体" w:cs="宋体"/>
          <w:sz w:val="21"/>
          <w:szCs w:val="21"/>
          <w:lang w:val="en" w:eastAsia="de-DE" w:bidi="ar-SA"/>
        </w:rPr>
        <w:t>1.本项目分三个采购包：采购包1：蔬菜、</w:t>
      </w:r>
      <w:r>
        <w:rPr>
          <w:rFonts w:hint="eastAsia" w:ascii="宋体" w:hAnsi="宋体" w:eastAsia="宋体" w:cs="宋体"/>
          <w:sz w:val="21"/>
          <w:szCs w:val="21"/>
          <w:lang w:val="en" w:eastAsia="zh-CN" w:bidi="ar-SA"/>
        </w:rPr>
        <w:t>豆制品</w:t>
      </w:r>
      <w:r>
        <w:rPr>
          <w:rFonts w:hint="eastAsia" w:ascii="宋体" w:hAnsi="宋体" w:eastAsia="宋体" w:cs="宋体"/>
          <w:sz w:val="21"/>
          <w:szCs w:val="21"/>
          <w:lang w:val="en" w:eastAsia="de-DE" w:bidi="ar-SA"/>
        </w:rPr>
        <w:t>、</w:t>
      </w:r>
      <w:r>
        <w:rPr>
          <w:rFonts w:hint="eastAsia" w:ascii="宋体" w:hAnsi="宋体" w:eastAsia="宋体" w:cs="宋体"/>
          <w:sz w:val="21"/>
          <w:szCs w:val="21"/>
          <w:lang w:val="en" w:eastAsia="zh-CN" w:bidi="ar-SA"/>
        </w:rPr>
        <w:t>海鲜、冻品食材</w:t>
      </w:r>
      <w:r>
        <w:rPr>
          <w:rFonts w:hint="eastAsia" w:ascii="宋体" w:hAnsi="宋体" w:eastAsia="宋体" w:cs="宋体"/>
          <w:sz w:val="21"/>
          <w:szCs w:val="21"/>
          <w:lang w:val="en" w:eastAsia="de-DE" w:bidi="ar-SA"/>
        </w:rPr>
        <w:t>类；采购包2：禽蛋肉类；采购包3：调味品、食用油、干货类。三个采购包均采用综合评分法进行评标。</w:t>
      </w:r>
    </w:p>
    <w:p w14:paraId="36293BA2">
      <w:pPr>
        <w:pStyle w:val="14"/>
        <w:ind w:firstLine="0" w:firstLineChars="0"/>
        <w:outlineLvl w:val="9"/>
        <w:rPr>
          <w:rFonts w:hint="eastAsia" w:ascii="宋体" w:hAnsi="宋体" w:eastAsia="宋体" w:cs="宋体"/>
          <w:sz w:val="21"/>
          <w:szCs w:val="21"/>
          <w:lang w:val="en" w:eastAsia="de-DE" w:bidi="ar-SA"/>
        </w:rPr>
      </w:pPr>
      <w:r>
        <w:rPr>
          <w:rFonts w:hint="eastAsia" w:ascii="宋体" w:hAnsi="宋体" w:eastAsia="宋体" w:cs="宋体"/>
          <w:sz w:val="21"/>
          <w:szCs w:val="21"/>
          <w:lang w:val="en" w:eastAsia="de-DE" w:bidi="ar-SA"/>
        </w:rPr>
        <w:t>2.本项目允许兼投兼中，即同一投标人允许同时投3个包，但最多仅允许中标两个采购包。本项目按采购包1至采购包3的顺序进行评审，若投标人获得采购包1、2的中标候选推荐资格，则其兼投的后续合同包按实质性审查不合格进行认定。</w:t>
      </w:r>
    </w:p>
    <w:p w14:paraId="166D1A70">
      <w:pPr>
        <w:pStyle w:val="14"/>
        <w:ind w:firstLine="0" w:firstLineChars="0"/>
        <w:outlineLvl w:val="9"/>
        <w:rPr>
          <w:rFonts w:hint="eastAsia" w:ascii="宋体" w:hAnsi="宋体" w:eastAsia="宋体" w:cs="宋体"/>
          <w:sz w:val="21"/>
          <w:szCs w:val="21"/>
          <w:lang w:val="en" w:eastAsia="de-DE" w:bidi="ar-SA"/>
        </w:rPr>
      </w:pPr>
      <w:r>
        <w:rPr>
          <w:rFonts w:hint="eastAsia" w:ascii="宋体" w:hAnsi="宋体" w:eastAsia="宋体" w:cs="宋体"/>
          <w:sz w:val="21"/>
          <w:szCs w:val="21"/>
          <w:lang w:val="en" w:eastAsia="de-DE" w:bidi="ar-SA"/>
        </w:rPr>
        <w:t>3.投标人须按采购包投标，不得仅对一个采购包中的部分内容进行投标，否则其投标将被拒绝。评标与授标以采购包为单位。</w:t>
      </w:r>
    </w:p>
    <w:p w14:paraId="2B2A14A0">
      <w:pPr>
        <w:rPr>
          <w:rFonts w:hint="eastAsia" w:ascii="宋体" w:hAnsi="宋体" w:eastAsia="宋体" w:cs="宋体"/>
          <w:sz w:val="21"/>
          <w:szCs w:val="21"/>
          <w:lang w:val="en-US" w:eastAsia="zh-CN" w:bidi="ar-SA"/>
        </w:rPr>
      </w:pPr>
      <w:r>
        <w:rPr>
          <w:rFonts w:hint="eastAsia" w:ascii="宋体" w:hAnsi="宋体" w:eastAsia="宋体" w:cs="宋体"/>
          <w:sz w:val="21"/>
          <w:szCs w:val="21"/>
          <w:lang w:val="en" w:eastAsia="de-DE" w:bidi="ar-SA"/>
        </w:rPr>
        <w:t>4.招标文件未明确的其它约定事项或条款，待采购人与中标人签订合同时，由双方协商订立。</w:t>
      </w:r>
      <w:bookmarkEnd w:id="66"/>
    </w:p>
    <w:p w14:paraId="4893BACD">
      <w:pPr>
        <w:pStyle w:val="2"/>
        <w:numPr>
          <w:ilvl w:val="0"/>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script"/>
    <w:pitch w:val="default"/>
    <w:sig w:usb0="A00002BF" w:usb1="184F6CFA" w:usb2="00000012" w:usb3="00000000" w:csb0="00040001" w:csb1="00000000"/>
  </w:font>
  <w:font w:name="MetaPlusLF">
    <w:altName w:val="Segoe Print"/>
    <w:panose1 w:val="00000000000000000000"/>
    <w:charset w:val="00"/>
    <w:family w:val="auto"/>
    <w:pitch w:val="default"/>
    <w:sig w:usb0="00000000" w:usb1="00000000" w:usb2="00000000" w:usb3="00000000" w:csb0="00000097"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B994">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A6B56">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2A6B56">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7E43">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B37438">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CB37438">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22134">
    <w:pPr>
      <w:pStyle w:val="11"/>
      <w:framePr w:wrap="around" w:vAnchor="text" w:hAnchor="margin" w:xAlign="center" w:y="1"/>
      <w:rPr>
        <w:rStyle w:val="18"/>
      </w:rPr>
    </w:pPr>
    <w:r>
      <w:fldChar w:fldCharType="begin"/>
    </w:r>
    <w:r>
      <w:rPr>
        <w:rStyle w:val="18"/>
      </w:rPr>
      <w:instrText xml:space="preserve">PAGE  </w:instrText>
    </w:r>
    <w:r>
      <w:fldChar w:fldCharType="end"/>
    </w:r>
  </w:p>
  <w:p w14:paraId="4A0ED7C8">
    <w:pPr>
      <w:pStyle w:val="11"/>
    </w:pPr>
  </w:p>
  <w:p w14:paraId="3B5D1575"/>
  <w:p w14:paraId="7189A5C1"/>
  <w:p w14:paraId="0D6CFD6D"/>
  <w:p w14:paraId="5E92353F"/>
  <w:p w14:paraId="1A6753D4"/>
  <w:p w14:paraId="0ED9B5B9"/>
  <w:p w14:paraId="2DBBA95A"/>
  <w:p w14:paraId="4F3D231E"/>
  <w:p w14:paraId="4933A925"/>
  <w:p w14:paraId="6765C7C2"/>
  <w:p w14:paraId="1EF88C16"/>
  <w:p w14:paraId="40C6F47E"/>
  <w:p w14:paraId="00F2A383"/>
  <w:p w14:paraId="2D06BA71"/>
  <w:p w14:paraId="659D5926"/>
  <w:p w14:paraId="6DBEF862"/>
  <w:p w14:paraId="3DF189CA"/>
  <w:p w14:paraId="7228E24B"/>
  <w:p w14:paraId="50BCD667"/>
  <w:p w14:paraId="4CEA2E71"/>
  <w:p w14:paraId="64FD03F1"/>
  <w:p w14:paraId="056B67D8"/>
  <w:p w14:paraId="26689B74"/>
  <w:p w14:paraId="49AD18DA"/>
  <w:p w14:paraId="28282BCE"/>
  <w:p w14:paraId="67F1F2C4"/>
  <w:p w14:paraId="591F2986"/>
  <w:p w14:paraId="4CF6C74E"/>
  <w:p w14:paraId="66F21896"/>
  <w:p w14:paraId="6D5698F7"/>
  <w:p w14:paraId="16ABCE55"/>
  <w:p w14:paraId="66CCC1E2"/>
  <w:p w14:paraId="0D4DEDDB"/>
  <w:p w14:paraId="426BE13C"/>
  <w:p w14:paraId="5AC52DA3"/>
  <w:p w14:paraId="15A2508F"/>
  <w:p w14:paraId="5045F825"/>
  <w:p w14:paraId="1C450C17"/>
  <w:p w14:paraId="4F3670CB"/>
  <w:p w14:paraId="2ED48BB3"/>
  <w:p w14:paraId="33E8273A"/>
  <w:p w14:paraId="5CB98A73"/>
  <w:p w14:paraId="343541B2"/>
  <w:p w14:paraId="7A8A4284"/>
  <w:p w14:paraId="31568765"/>
  <w:p w14:paraId="398FE965"/>
  <w:p w14:paraId="6FC2796B"/>
  <w:p w14:paraId="5074F61A"/>
  <w:p w14:paraId="6868BA4B"/>
  <w:p w14:paraId="46EFFE4B"/>
  <w:p w14:paraId="532F28E0"/>
  <w:p w14:paraId="1C3FCFC5"/>
  <w:p w14:paraId="155BB9EA"/>
  <w:p w14:paraId="38C51F4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FB57">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2B0140">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22B0140">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862E5"/>
  <w:p w14:paraId="13117064"/>
  <w:p w14:paraId="382FF60E"/>
  <w:p w14:paraId="4CA219ED"/>
  <w:p w14:paraId="2C43E1E3"/>
  <w:p w14:paraId="7EBD585A"/>
  <w:p w14:paraId="6C5AA41D"/>
  <w:p w14:paraId="5E99530B"/>
  <w:p w14:paraId="0E39A746"/>
  <w:p w14:paraId="696C2FF0"/>
  <w:p w14:paraId="4D59FF50"/>
  <w:p w14:paraId="208B52A2"/>
  <w:p w14:paraId="766B99AE"/>
  <w:p w14:paraId="578C96D9"/>
  <w:p w14:paraId="6764A290"/>
  <w:p w14:paraId="51B652AC"/>
  <w:p w14:paraId="46773D5D"/>
  <w:p w14:paraId="3740167A"/>
  <w:p w14:paraId="6A3FB741"/>
  <w:p w14:paraId="174C14D9"/>
  <w:p w14:paraId="28259012"/>
  <w:p w14:paraId="13C5A1A6"/>
  <w:p w14:paraId="0365A253"/>
  <w:p w14:paraId="273C7F0F"/>
  <w:p w14:paraId="23750BA9"/>
  <w:p w14:paraId="591C1295"/>
  <w:p w14:paraId="37CA4197"/>
  <w:p w14:paraId="235718F5"/>
  <w:p w14:paraId="24713EED"/>
  <w:p w14:paraId="39093E46"/>
  <w:p w14:paraId="73DACB35"/>
  <w:p w14:paraId="2E28DFC5"/>
  <w:p w14:paraId="7ECDB5B3"/>
  <w:p w14:paraId="3C257312"/>
  <w:p w14:paraId="7A26D78E"/>
  <w:p w14:paraId="10BB02BA"/>
  <w:p w14:paraId="5157F6A8"/>
  <w:p w14:paraId="594DF422"/>
  <w:p w14:paraId="4CA90EB5"/>
  <w:p w14:paraId="681D36CE"/>
  <w:p w14:paraId="6419AE7D"/>
  <w:p w14:paraId="113CE327"/>
  <w:p w14:paraId="0FB2E64D"/>
  <w:p w14:paraId="0723207E"/>
  <w:p w14:paraId="3692C7F0"/>
  <w:p w14:paraId="102F0F06"/>
  <w:p w14:paraId="599FB01E"/>
  <w:p w14:paraId="062FDFD7"/>
  <w:p w14:paraId="7092F6E7"/>
  <w:p w14:paraId="1B83B1B1"/>
  <w:p w14:paraId="4CD06DB9"/>
  <w:p w14:paraId="2BF4BCD0"/>
  <w:p w14:paraId="50F6BC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E0F1B"/>
    <w:multiLevelType w:val="singleLevel"/>
    <w:tmpl w:val="ABBE0F1B"/>
    <w:lvl w:ilvl="0" w:tentative="0">
      <w:start w:val="4"/>
      <w:numFmt w:val="chineseCounting"/>
      <w:suff w:val="nothing"/>
      <w:lvlText w:val="%1、"/>
      <w:lvlJc w:val="left"/>
      <w:rPr>
        <w:rFonts w:hint="eastAsia"/>
      </w:rPr>
    </w:lvl>
  </w:abstractNum>
  <w:abstractNum w:abstractNumId="1">
    <w:nsid w:val="B171B9B1"/>
    <w:multiLevelType w:val="singleLevel"/>
    <w:tmpl w:val="B171B9B1"/>
    <w:lvl w:ilvl="0" w:tentative="0">
      <w:start w:val="17"/>
      <w:numFmt w:val="decimal"/>
      <w:lvlText w:val="%1."/>
      <w:lvlJc w:val="left"/>
      <w:pPr>
        <w:tabs>
          <w:tab w:val="left" w:pos="312"/>
        </w:tabs>
      </w:pPr>
    </w:lvl>
  </w:abstractNum>
  <w:abstractNum w:abstractNumId="2">
    <w:nsid w:val="62FA5D3A"/>
    <w:multiLevelType w:val="singleLevel"/>
    <w:tmpl w:val="62FA5D3A"/>
    <w:lvl w:ilvl="0" w:tentative="0">
      <w:start w:val="1"/>
      <w:numFmt w:val="decimal"/>
      <w:pStyle w:val="5"/>
      <w:lvlText w:val="%1."/>
      <w:lvlJc w:val="left"/>
      <w:pPr>
        <w:tabs>
          <w:tab w:val="left" w:pos="780"/>
        </w:tabs>
        <w:ind w:left="7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943F9"/>
    <w:rsid w:val="0D044784"/>
    <w:rsid w:val="0FA23E3C"/>
    <w:rsid w:val="12B00BC5"/>
    <w:rsid w:val="1AA650CC"/>
    <w:rsid w:val="1FC82158"/>
    <w:rsid w:val="28EE3264"/>
    <w:rsid w:val="2B876854"/>
    <w:rsid w:val="2D6867F4"/>
    <w:rsid w:val="2D9B65E7"/>
    <w:rsid w:val="315129AE"/>
    <w:rsid w:val="31821EA1"/>
    <w:rsid w:val="31EC6692"/>
    <w:rsid w:val="382E4758"/>
    <w:rsid w:val="4391606A"/>
    <w:rsid w:val="44A122DD"/>
    <w:rsid w:val="44A667A7"/>
    <w:rsid w:val="462E7A35"/>
    <w:rsid w:val="4C8F7D24"/>
    <w:rsid w:val="4CAB1C80"/>
    <w:rsid w:val="501360E7"/>
    <w:rsid w:val="65B31A18"/>
    <w:rsid w:val="673B3A73"/>
    <w:rsid w:val="67AE4B8A"/>
    <w:rsid w:val="70B95997"/>
    <w:rsid w:val="753541F8"/>
    <w:rsid w:val="75D470FF"/>
    <w:rsid w:val="79B0467C"/>
    <w:rsid w:val="7A441445"/>
    <w:rsid w:val="7C474DA0"/>
    <w:rsid w:val="7EDB0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4">
    <w:name w:val="heading 5"/>
    <w:basedOn w:val="5"/>
    <w:next w:val="6"/>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5">
    <w:name w:val="List Number 2"/>
    <w:basedOn w:val="1"/>
    <w:qFormat/>
    <w:uiPriority w:val="0"/>
    <w:pPr>
      <w:numPr>
        <w:ilvl w:val="0"/>
        <w:numId w:val="1"/>
      </w:numPr>
    </w:pPr>
  </w:style>
  <w:style w:type="paragraph" w:styleId="6">
    <w:name w:val="Normal (Web)"/>
    <w:basedOn w:val="1"/>
    <w:next w:val="7"/>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样式 标题 3 + (中文) 黑体 小四 非加粗 段前: 7.8 磅 段后: 0 磅 行距: 固定值 20 磅"/>
    <w:basedOn w:val="3"/>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8">
    <w:name w:val="Body Text"/>
    <w:basedOn w:val="1"/>
    <w:next w:val="1"/>
    <w:qFormat/>
    <w:uiPriority w:val="1"/>
    <w:rPr>
      <w:b/>
      <w:szCs w:val="24"/>
    </w:rPr>
  </w:style>
  <w:style w:type="paragraph" w:styleId="9">
    <w:name w:val="Body Text Indent"/>
    <w:basedOn w:val="1"/>
    <w:next w:val="1"/>
    <w:qFormat/>
    <w:uiPriority w:val="99"/>
    <w:pPr>
      <w:spacing w:line="360" w:lineRule="auto"/>
      <w:ind w:firstLine="420" w:firstLineChars="200"/>
      <w:outlineLvl w:val="0"/>
    </w:pPr>
    <w:rPr>
      <w:color w:val="000000"/>
    </w:rPr>
  </w:style>
  <w:style w:type="paragraph" w:styleId="10">
    <w:name w:val="Plain Text"/>
    <w:basedOn w:val="1"/>
    <w:unhideWhenUsed/>
    <w:qFormat/>
    <w:uiPriority w:val="99"/>
    <w:rPr>
      <w:rFonts w:ascii="宋体" w:hAnsi="Courier New" w:eastAsia="宋体" w:cs="Courier New"/>
      <w:szCs w:val="21"/>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Body Text First Indent 2"/>
    <w:basedOn w:val="9"/>
    <w:unhideWhenUsed/>
    <w:qFormat/>
    <w:uiPriority w:val="99"/>
  </w:style>
  <w:style w:type="table" w:styleId="16">
    <w:name w:val="Table Grid"/>
    <w:basedOn w:val="15"/>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99"/>
  </w:style>
  <w:style w:type="character" w:styleId="19">
    <w:name w:val="Hyperlink"/>
    <w:unhideWhenUsed/>
    <w:qFormat/>
    <w:uiPriority w:val="99"/>
    <w:rPr>
      <w:color w:val="0000FF"/>
      <w:u w:val="single"/>
    </w:rPr>
  </w:style>
  <w:style w:type="paragraph" w:customStyle="1" w:styleId="20">
    <w:name w:val="null3"/>
    <w:qFormat/>
    <w:uiPriority w:val="0"/>
    <w:rPr>
      <w:rFonts w:hint="eastAsia" w:ascii="Calibri" w:hAnsi="Calibri" w:eastAsia="宋体" w:cs="Times New Roman"/>
      <w:lang w:val="en-US" w:eastAsia="zh-CN" w:bidi="ar-SA"/>
    </w:rPr>
  </w:style>
  <w:style w:type="paragraph" w:customStyle="1" w:styleId="21">
    <w:name w:val="样式1"/>
    <w:basedOn w:val="1"/>
    <w:qFormat/>
    <w:uiPriority w:val="0"/>
    <w:pPr>
      <w:jc w:val="center"/>
    </w:pPr>
    <w:rPr>
      <w:rFonts w:eastAsia="方正大标宋简体"/>
      <w:sz w:val="52"/>
    </w:rPr>
  </w:style>
  <w:style w:type="paragraph" w:customStyle="1" w:styleId="22">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styleId="23">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2961</Words>
  <Characters>3268</Characters>
  <Lines>0</Lines>
  <Paragraphs>0</Paragraphs>
  <TotalTime>19</TotalTime>
  <ScaleCrop>false</ScaleCrop>
  <LinksUpToDate>false</LinksUpToDate>
  <CharactersWithSpaces>3404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2024-12-02T09:30:00Z</dcterms:created>
  <dc:creator>Administrator</dc:creator>
  <cp:lastModifiedBy>温</cp:lastModifiedBy>
  <cp:lastPrinted>2025-04-30T03:07:00Z</cp:lastPrinted>
  <dcterms:modified xsi:type="dcterms:W3CDTF">2025-05-28T06:58:05Z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D98B9A09AD214029A632D78909101D71_13</vt:lpwstr>
  </property>
  <property fmtid="{D5CDD505-2E9C-101B-9397-08002B2CF9AE}" pid="4" name="KSOTemplateDocerSaveRecord">
    <vt:lpwstr>eyJoZGlkIjoiZDBiOWY3ZjBiYThmMDY1NmRkMGVjYTM4ZTJiYzNlYTIiLCJ1c2VySWQiOiI5MTc1NTAwNjEifQ==</vt:lpwstr>
  </property>
</Properties>
</file>